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1E" w:rsidRDefault="001003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 ХАРКІВСЬКОЇ ОБЛАСНОЇ РАДИ</w:t>
      </w:r>
    </w:p>
    <w:p w:rsidR="0004141E" w:rsidRDefault="00100369">
      <w:pPr>
        <w:jc w:val="center"/>
        <w:rPr>
          <w:lang w:val="uk-UA"/>
        </w:rPr>
      </w:pPr>
      <w:r>
        <w:rPr>
          <w:lang w:val="uk-UA"/>
        </w:rPr>
        <w:t xml:space="preserve">вул. Дванадцятого Квітня, 12, м. Харків, тел./факс (057) 725-84-54, </w:t>
      </w:r>
    </w:p>
    <w:p w:rsidR="0004141E" w:rsidRDefault="00100369">
      <w:pPr>
        <w:jc w:val="center"/>
        <w:rPr>
          <w:lang w:val="uk-UA"/>
        </w:rPr>
      </w:pPr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6" w:history="1">
        <w:r>
          <w:rPr>
            <w:rStyle w:val="ad"/>
            <w:lang w:val="en-US"/>
          </w:rPr>
          <w:t>ryatuvalnik</w:t>
        </w:r>
        <w:r>
          <w:rPr>
            <w:rStyle w:val="ad"/>
            <w:lang w:val="uk-UA"/>
          </w:rPr>
          <w:t>@</w:t>
        </w:r>
        <w:r>
          <w:rPr>
            <w:rStyle w:val="ad"/>
            <w:lang w:val="en-US"/>
          </w:rPr>
          <w:t>ryatuvalnik</w:t>
        </w:r>
        <w:r>
          <w:rPr>
            <w:rStyle w:val="ad"/>
            <w:lang w:val="uk-UA"/>
          </w:rPr>
          <w:t>.</w:t>
        </w:r>
        <w:r>
          <w:rPr>
            <w:rStyle w:val="ad"/>
            <w:lang w:val="en-US"/>
          </w:rPr>
          <w:t>com</w:t>
        </w:r>
        <w:r>
          <w:rPr>
            <w:rStyle w:val="ad"/>
            <w:lang w:val="uk-UA"/>
          </w:rPr>
          <w:t>.</w:t>
        </w:r>
        <w:r>
          <w:rPr>
            <w:rStyle w:val="ad"/>
            <w:lang w:val="en-US"/>
          </w:rPr>
          <w:t>ua</w:t>
        </w:r>
      </w:hyperlink>
      <w:r>
        <w:rPr>
          <w:lang w:val="uk-UA"/>
        </w:rPr>
        <w:t xml:space="preserve">, сайт </w:t>
      </w:r>
      <w:hyperlink r:id="rId7" w:history="1">
        <w:r>
          <w:rPr>
            <w:rStyle w:val="ad"/>
            <w:lang w:val="en-US"/>
          </w:rPr>
          <w:t>https</w:t>
        </w:r>
        <w:r>
          <w:rPr>
            <w:rStyle w:val="ad"/>
            <w:lang w:val="uk-UA"/>
          </w:rPr>
          <w:t>://</w:t>
        </w:r>
        <w:proofErr w:type="spellStart"/>
        <w:r>
          <w:rPr>
            <w:rStyle w:val="ad"/>
            <w:lang w:val="en-US"/>
          </w:rPr>
          <w:t>ryatuvalnik</w:t>
        </w:r>
        <w:proofErr w:type="spellEnd"/>
        <w:r>
          <w:rPr>
            <w:rStyle w:val="ad"/>
            <w:lang w:val="uk-UA"/>
          </w:rPr>
          <w:t>.</w:t>
        </w:r>
        <w:r>
          <w:rPr>
            <w:rStyle w:val="ad"/>
            <w:lang w:val="en-US"/>
          </w:rPr>
          <w:t>com</w:t>
        </w:r>
        <w:r>
          <w:rPr>
            <w:rStyle w:val="ad"/>
            <w:lang w:val="uk-UA"/>
          </w:rPr>
          <w:t>.</w:t>
        </w:r>
        <w:proofErr w:type="spellStart"/>
        <w:r>
          <w:rPr>
            <w:rStyle w:val="ad"/>
            <w:lang w:val="en-US"/>
          </w:rPr>
          <w:t>ua</w:t>
        </w:r>
        <w:proofErr w:type="spellEnd"/>
        <w:r>
          <w:rPr>
            <w:rStyle w:val="ad"/>
            <w:lang w:val="uk-UA"/>
          </w:rPr>
          <w:t>/</w:t>
        </w:r>
      </w:hyperlink>
    </w:p>
    <w:p w:rsidR="0004141E" w:rsidRDefault="00100369">
      <w:pPr>
        <w:jc w:val="center"/>
        <w:rPr>
          <w:lang w:val="uk-UA"/>
        </w:rPr>
      </w:pPr>
      <w:r>
        <w:rPr>
          <w:lang w:val="uk-UA"/>
        </w:rPr>
        <w:t>код ЄДРПОУ 24480983</w:t>
      </w:r>
    </w:p>
    <w:p w:rsidR="0004141E" w:rsidRDefault="0004141E">
      <w:pPr>
        <w:jc w:val="center"/>
        <w:rPr>
          <w:sz w:val="28"/>
          <w:szCs w:val="28"/>
          <w:lang w:val="uk-UA"/>
        </w:rPr>
      </w:pPr>
    </w:p>
    <w:p w:rsidR="0004141E" w:rsidRDefault="001003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04141E" w:rsidRDefault="0004141E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04141E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141E" w:rsidRDefault="00100369" w:rsidP="0010036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28.08</w:t>
            </w:r>
            <w:r>
              <w:rPr>
                <w:b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141E" w:rsidRDefault="0010036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141E" w:rsidRDefault="00100369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78</w:t>
            </w:r>
          </w:p>
        </w:tc>
      </w:tr>
    </w:tbl>
    <w:p w:rsidR="0004141E" w:rsidRDefault="0004141E">
      <w:pPr>
        <w:jc w:val="both"/>
        <w:rPr>
          <w:b/>
          <w:sz w:val="28"/>
          <w:szCs w:val="28"/>
          <w:lang w:val="uk-UA"/>
        </w:rPr>
      </w:pPr>
    </w:p>
    <w:p w:rsidR="0004141E" w:rsidRDefault="001003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оцінку результатів </w:t>
      </w:r>
    </w:p>
    <w:p w:rsidR="0004141E" w:rsidRDefault="001003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виконання освітніх програм</w:t>
      </w:r>
    </w:p>
    <w:p w:rsidR="0004141E" w:rsidRDefault="00100369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за 2023/2024 навчальний рік</w:t>
      </w:r>
    </w:p>
    <w:p w:rsidR="0004141E" w:rsidRDefault="0004141E">
      <w:pPr>
        <w:jc w:val="both"/>
        <w:rPr>
          <w:sz w:val="28"/>
          <w:szCs w:val="28"/>
          <w:lang w:val="uk-UA"/>
        </w:rPr>
      </w:pPr>
    </w:p>
    <w:p w:rsidR="0004141E" w:rsidRDefault="00100369" w:rsidP="005B38F7">
      <w:pPr>
        <w:widowControl w:val="0"/>
        <w:suppressAutoHyphens/>
        <w:ind w:firstLine="851"/>
        <w:jc w:val="both"/>
        <w:rPr>
          <w:rFonts w:eastAsia="Lucida Sans Unicode" w:cs="Tahoma"/>
          <w:color w:val="000000"/>
          <w:sz w:val="28"/>
          <w:szCs w:val="28"/>
          <w:lang w:val="uk-UA" w:bidi="en-US"/>
        </w:rPr>
      </w:pPr>
      <w:r>
        <w:rPr>
          <w:rFonts w:eastAsia="Lucida Sans Unicode" w:cs="Tahoma"/>
          <w:color w:val="000000"/>
          <w:sz w:val="28"/>
          <w:szCs w:val="28"/>
          <w:lang w:val="uk-UA" w:bidi="en-US"/>
        </w:rPr>
        <w:t xml:space="preserve">Відповідно до 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>частини 7 статті 12 Закону України «Про освіту»,          статті 10</w:t>
      </w:r>
      <w:r>
        <w:rPr>
          <w:lang w:val="uk-UA"/>
        </w:rPr>
        <w:t xml:space="preserve"> 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 xml:space="preserve">Закону України «Про повну загальну середню освіту», листів </w:t>
      </w:r>
      <w:r>
        <w:rPr>
          <w:sz w:val="28"/>
          <w:szCs w:val="28"/>
          <w:lang w:val="uk-UA"/>
        </w:rPr>
        <w:t xml:space="preserve">Міністерства освіти і науки України 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>від 12.09.23 року № 1/13749-23 «Про інструктивно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>-методичні рекомендації щодо викладання навчальних предметів/інтегрованих курсів у закладах загальної середньої освіти у 2023/2024 навчальному році», від 14.08.2023 № 1/12038-23 “Про переліки навчальної літератури та навчальних програм, рекомендованих Міні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 xml:space="preserve">стерством освіти і науки України для використання в освітньому процесі закладів освіти у 2023/2024 навчальному році”, </w:t>
      </w:r>
      <w:r>
        <w:rPr>
          <w:rFonts w:eastAsia="Lucida Sans Unicode" w:cs="Tahoma"/>
          <w:sz w:val="28"/>
          <w:szCs w:val="28"/>
          <w:lang w:val="uk-UA" w:bidi="en-US"/>
        </w:rPr>
        <w:t xml:space="preserve">на виконання плану роботи 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 xml:space="preserve">Комунального закладу «Харківський ліцей з посиленою військово-фізичною підготовкою </w:t>
      </w:r>
      <w:r>
        <w:rPr>
          <w:rFonts w:eastAsia="Lucida Sans Unicode"/>
          <w:color w:val="000000"/>
          <w:sz w:val="28"/>
          <w:szCs w:val="28"/>
          <w:rtl/>
          <w:lang w:val="uk-UA" w:bidi="he-IL"/>
        </w:rPr>
        <w:t>״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>Рятувальник</w:t>
      </w:r>
      <w:r>
        <w:rPr>
          <w:rFonts w:eastAsia="Lucida Sans Unicode"/>
          <w:color w:val="000000"/>
          <w:sz w:val="28"/>
          <w:szCs w:val="28"/>
          <w:rtl/>
          <w:lang w:val="uk-UA" w:bidi="he-IL"/>
        </w:rPr>
        <w:t>״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>» Харківської об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 xml:space="preserve">ласної ради (далі - </w:t>
      </w:r>
      <w:r>
        <w:rPr>
          <w:rFonts w:eastAsia="Lucida Sans Unicode"/>
          <w:color w:val="000000"/>
          <w:sz w:val="28"/>
          <w:szCs w:val="28"/>
          <w:lang w:val="uk-UA" w:bidi="en-US"/>
        </w:rPr>
        <w:t>ліцей)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 xml:space="preserve"> на 2023/2024 навчальний рік заступником начальника ліцею з навчальної  роботи Кучер Н.Г. проаналізовано стан виконанням річного навчального плану  та навчальних програм для учнів  8 – 11 класів.</w:t>
      </w:r>
    </w:p>
    <w:p w:rsidR="0004141E" w:rsidRDefault="00100369" w:rsidP="005B38F7">
      <w:pPr>
        <w:widowControl w:val="0"/>
        <w:suppressAutoHyphens/>
        <w:ind w:firstLine="851"/>
        <w:jc w:val="both"/>
        <w:rPr>
          <w:rFonts w:eastAsia="Lucida Sans Unicode" w:cs="Tahoma"/>
          <w:color w:val="000000"/>
          <w:sz w:val="28"/>
          <w:szCs w:val="28"/>
          <w:lang w:val="uk-UA" w:bidi="en-US"/>
        </w:rPr>
      </w:pPr>
      <w:r>
        <w:rPr>
          <w:rFonts w:eastAsia="Lucida Sans Unicode" w:cs="Tahoma"/>
          <w:color w:val="000000"/>
          <w:sz w:val="28"/>
          <w:szCs w:val="28"/>
          <w:lang w:val="uk-UA" w:bidi="en-US"/>
        </w:rPr>
        <w:t>При перевірці вивчено:</w:t>
      </w:r>
    </w:p>
    <w:p w:rsidR="0004141E" w:rsidRDefault="00100369" w:rsidP="005B38F7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  <w:rPr>
          <w:rFonts w:eastAsia="Lucida Sans Unicode" w:cs="Tahoma"/>
          <w:color w:val="000000"/>
          <w:sz w:val="28"/>
          <w:szCs w:val="28"/>
          <w:lang w:val="uk-UA" w:bidi="en-US"/>
        </w:rPr>
      </w:pPr>
      <w:r>
        <w:rPr>
          <w:rFonts w:eastAsia="Lucida Sans Unicode" w:cs="Tahoma"/>
          <w:color w:val="000000"/>
          <w:sz w:val="28"/>
          <w:szCs w:val="28"/>
          <w:lang w:val="uk-UA" w:bidi="en-US"/>
        </w:rPr>
        <w:t>Кількість г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 xml:space="preserve">один за річним навчальним планом та навчальними програмами, відведених на вивчення предметів. </w:t>
      </w:r>
    </w:p>
    <w:p w:rsidR="0004141E" w:rsidRDefault="00100369" w:rsidP="005B38F7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  <w:rPr>
          <w:rFonts w:eastAsia="Lucida Sans Unicode" w:cs="Tahoma"/>
          <w:color w:val="000000"/>
          <w:sz w:val="28"/>
          <w:szCs w:val="28"/>
          <w:lang w:val="uk-UA" w:bidi="en-US"/>
        </w:rPr>
      </w:pPr>
      <w:r>
        <w:rPr>
          <w:rFonts w:eastAsia="Lucida Sans Unicode" w:cs="Tahoma"/>
          <w:color w:val="000000"/>
          <w:sz w:val="28"/>
          <w:szCs w:val="28"/>
          <w:lang w:val="uk-UA" w:bidi="en-US"/>
        </w:rPr>
        <w:t>Фактична кількість годин вивченого навчального матеріалу.</w:t>
      </w:r>
    </w:p>
    <w:p w:rsidR="0004141E" w:rsidRDefault="00100369" w:rsidP="005B38F7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  <w:rPr>
          <w:rFonts w:eastAsia="Lucida Sans Unicode" w:cs="Tahoma"/>
          <w:color w:val="000000"/>
          <w:sz w:val="28"/>
          <w:szCs w:val="28"/>
          <w:lang w:val="uk-UA" w:bidi="en-US"/>
        </w:rPr>
      </w:pPr>
      <w:r>
        <w:rPr>
          <w:rFonts w:eastAsia="Lucida Sans Unicode" w:cs="Tahoma"/>
          <w:color w:val="000000"/>
          <w:sz w:val="28"/>
          <w:szCs w:val="28"/>
          <w:lang w:val="uk-UA" w:bidi="en-US"/>
        </w:rPr>
        <w:t>Виконання вчителями вимог навчальних програм: кількість проведених практичних та лабораторних робіт, те</w:t>
      </w:r>
      <w:r>
        <w:rPr>
          <w:rFonts w:eastAsia="Lucida Sans Unicode" w:cs="Tahoma"/>
          <w:color w:val="000000"/>
          <w:sz w:val="28"/>
          <w:szCs w:val="28"/>
          <w:lang w:val="uk-UA" w:bidi="en-US"/>
        </w:rPr>
        <w:t>матичного обліку тощо.</w:t>
      </w:r>
    </w:p>
    <w:p w:rsidR="0004141E" w:rsidRDefault="00100369" w:rsidP="005B38F7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val="uk-UA" w:bidi="en-US"/>
        </w:rPr>
      </w:pPr>
      <w:r>
        <w:rPr>
          <w:rFonts w:eastAsia="Lucida Sans Unicode"/>
          <w:sz w:val="28"/>
          <w:szCs w:val="28"/>
          <w:lang w:val="uk-UA" w:bidi="en-US"/>
        </w:rPr>
        <w:t>Перевірка показала, що освітній процес у 2023/2024 навчальному році в ліцеї організовано відповідно до Освітньої програми для здобувачів                         освіти ІІ ступеня та Освітньої програми для здобувачів освіти ІІІ ступен</w:t>
      </w:r>
      <w:r>
        <w:rPr>
          <w:rFonts w:eastAsia="Lucida Sans Unicode"/>
          <w:sz w:val="28"/>
          <w:szCs w:val="28"/>
          <w:lang w:val="uk-UA" w:bidi="en-US"/>
        </w:rPr>
        <w:t>я, погоджених на засіданні педагогічної ради ліцею (протокол від 28.08.2023        № 1) та затверджених начальником ліцею.</w:t>
      </w:r>
    </w:p>
    <w:p w:rsidR="0004141E" w:rsidRDefault="0004141E" w:rsidP="005B38F7">
      <w:pPr>
        <w:widowControl w:val="0"/>
        <w:suppressAutoHyphens/>
        <w:ind w:firstLine="851"/>
        <w:jc w:val="both"/>
        <w:rPr>
          <w:sz w:val="28"/>
          <w:szCs w:val="28"/>
          <w:lang w:val="uk-UA"/>
        </w:rPr>
      </w:pPr>
    </w:p>
    <w:p w:rsidR="0004141E" w:rsidRDefault="00100369" w:rsidP="005B38F7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val="uk-UA" w:bidi="en-US"/>
        </w:rPr>
      </w:pPr>
      <w:r>
        <w:rPr>
          <w:sz w:val="28"/>
          <w:szCs w:val="28"/>
          <w:lang w:val="uk-UA"/>
        </w:rPr>
        <w:t>Виконання Державного стандарту базової і повної загальної середньої освіти забезпечується викладанням навчальних предметів інваріант</w:t>
      </w:r>
      <w:r>
        <w:rPr>
          <w:sz w:val="28"/>
          <w:szCs w:val="28"/>
          <w:lang w:val="uk-UA"/>
        </w:rPr>
        <w:t>ного компоненту в повному обсязі годин, що передбачені Типовими навчальними планами для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закладів середньої освіти ІІ-ІІІ ступеня. </w:t>
      </w:r>
    </w:p>
    <w:p w:rsidR="0004141E" w:rsidRDefault="00100369" w:rsidP="005B38F7">
      <w:pPr>
        <w:widowControl w:val="0"/>
        <w:suppressAutoHyphens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Відповідно до листа Міністерства освіти і науки України                          від 11.06.2014 № 1/9-303 з метою </w:t>
      </w:r>
      <w:r>
        <w:rPr>
          <w:rFonts w:eastAsiaTheme="minorHAnsi"/>
          <w:sz w:val="28"/>
          <w:szCs w:val="28"/>
          <w:lang w:val="uk-UA" w:eastAsia="en-US"/>
        </w:rPr>
        <w:t>забезпеченн</w:t>
      </w:r>
      <w:r>
        <w:rPr>
          <w:rFonts w:eastAsiaTheme="minorHAnsi"/>
          <w:sz w:val="28"/>
          <w:szCs w:val="28"/>
          <w:lang w:val="uk-UA" w:eastAsia="en-US"/>
        </w:rPr>
        <w:t xml:space="preserve">я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допрофільної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підготовки ліцеїстів освітній процес у 8 - 9 класах спрямований на організацію поглибленого  вивчення окремих предметів. </w:t>
      </w:r>
      <w:r>
        <w:rPr>
          <w:rFonts w:eastAsia="Calibri"/>
          <w:sz w:val="28"/>
          <w:szCs w:val="28"/>
          <w:lang w:val="uk-UA" w:eastAsia="en-US"/>
        </w:rPr>
        <w:t>За рахунок годин на вивчення спеціалізованих навчальних предметів проведено перерозподіл навчального часу інваріантної с</w:t>
      </w:r>
      <w:r>
        <w:rPr>
          <w:rFonts w:eastAsia="Calibri"/>
          <w:sz w:val="28"/>
          <w:szCs w:val="28"/>
          <w:lang w:val="uk-UA" w:eastAsia="en-US"/>
        </w:rPr>
        <w:t>кладової.</w:t>
      </w:r>
    </w:p>
    <w:p w:rsidR="0004141E" w:rsidRDefault="00100369" w:rsidP="005B38F7">
      <w:pPr>
        <w:spacing w:before="4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Так у </w:t>
      </w:r>
      <w:r>
        <w:rPr>
          <w:b/>
          <w:sz w:val="28"/>
          <w:szCs w:val="28"/>
          <w:lang w:val="uk-UA"/>
        </w:rPr>
        <w:t>8 – 9 класах</w:t>
      </w:r>
      <w:r>
        <w:rPr>
          <w:sz w:val="28"/>
          <w:szCs w:val="28"/>
          <w:lang w:val="uk-UA"/>
        </w:rPr>
        <w:t xml:space="preserve"> з метою розвитку умінь вільно спілкуватися в різних ситуаціях, засвоєння через мову і літературу історії, культури народу, за рахунок годин на вивчення навчальних предметів організовано поглиблене вивчення української мови. Розподіл годин на вивчення пред</w:t>
      </w:r>
      <w:r>
        <w:rPr>
          <w:sz w:val="28"/>
          <w:szCs w:val="28"/>
          <w:lang w:val="uk-UA"/>
        </w:rPr>
        <w:t xml:space="preserve">метів інваріантної складової подано в таблиці </w:t>
      </w:r>
    </w:p>
    <w:tbl>
      <w:tblPr>
        <w:tblStyle w:val="a5"/>
        <w:tblW w:w="0" w:type="auto"/>
        <w:tblLook w:val="04A0"/>
      </w:tblPr>
      <w:tblGrid>
        <w:gridCol w:w="2518"/>
        <w:gridCol w:w="4111"/>
        <w:gridCol w:w="2941"/>
      </w:tblGrid>
      <w:tr w:rsidR="0004141E">
        <w:tc>
          <w:tcPr>
            <w:tcW w:w="2518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Клас (взвод)</w:t>
            </w:r>
          </w:p>
        </w:tc>
        <w:tc>
          <w:tcPr>
            <w:tcW w:w="4111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Предмети</w:t>
            </w:r>
          </w:p>
        </w:tc>
        <w:tc>
          <w:tcPr>
            <w:tcW w:w="2941" w:type="dxa"/>
            <w:vAlign w:val="center"/>
          </w:tcPr>
          <w:p w:rsidR="0004141E" w:rsidRPr="005B38F7" w:rsidRDefault="005B38F7" w:rsidP="005B38F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Години </w:t>
            </w:r>
            <w:r w:rsidR="00100369" w:rsidRPr="005B38F7">
              <w:rPr>
                <w:rFonts w:eastAsiaTheme="minorHAnsi"/>
                <w:sz w:val="24"/>
                <w:szCs w:val="28"/>
                <w:lang w:eastAsia="en-US"/>
              </w:rPr>
              <w:t>на вивчення предметів</w:t>
            </w:r>
          </w:p>
        </w:tc>
      </w:tr>
      <w:tr w:rsidR="0004141E">
        <w:trPr>
          <w:trHeight w:val="453"/>
        </w:trPr>
        <w:tc>
          <w:tcPr>
            <w:tcW w:w="2518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8-А</w:t>
            </w:r>
          </w:p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(11 взвод)</w:t>
            </w:r>
          </w:p>
        </w:tc>
        <w:tc>
          <w:tcPr>
            <w:tcW w:w="4111" w:type="dxa"/>
          </w:tcPr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 xml:space="preserve">українська мова  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англійська мова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фізична культура</w:t>
            </w:r>
          </w:p>
        </w:tc>
        <w:tc>
          <w:tcPr>
            <w:tcW w:w="2941" w:type="dxa"/>
          </w:tcPr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2 години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357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0,5 годин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357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1 година</w:t>
            </w:r>
          </w:p>
        </w:tc>
      </w:tr>
      <w:tr w:rsidR="0004141E">
        <w:trPr>
          <w:trHeight w:val="453"/>
        </w:trPr>
        <w:tc>
          <w:tcPr>
            <w:tcW w:w="2518" w:type="dxa"/>
            <w:vAlign w:val="center"/>
          </w:tcPr>
          <w:p w:rsidR="0004141E" w:rsidRPr="005B38F7" w:rsidRDefault="005B38F7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9-А, 9-Б </w:t>
            </w:r>
          </w:p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(21,22 взводи)</w:t>
            </w:r>
          </w:p>
        </w:tc>
        <w:tc>
          <w:tcPr>
            <w:tcW w:w="4111" w:type="dxa"/>
          </w:tcPr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 xml:space="preserve">українська мова  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 xml:space="preserve">фізична </w:t>
            </w: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культура</w:t>
            </w:r>
          </w:p>
        </w:tc>
        <w:tc>
          <w:tcPr>
            <w:tcW w:w="2941" w:type="dxa"/>
          </w:tcPr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2 години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357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1 годині</w:t>
            </w:r>
          </w:p>
        </w:tc>
      </w:tr>
    </w:tbl>
    <w:p w:rsidR="0004141E" w:rsidRDefault="00100369" w:rsidP="005B38F7">
      <w:pPr>
        <w:spacing w:before="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Стандарту спеціалізованої освіти військового спрямування забезпечується:  </w:t>
      </w:r>
    </w:p>
    <w:p w:rsidR="0004141E" w:rsidRDefault="005B38F7" w:rsidP="005B38F7">
      <w:pPr>
        <w:pStyle w:val="a3"/>
        <w:numPr>
          <w:ilvl w:val="0"/>
          <w:numId w:val="26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100369">
        <w:rPr>
          <w:rFonts w:ascii="Times New Roman" w:hAnsi="Times New Roman"/>
          <w:sz w:val="28"/>
          <w:szCs w:val="28"/>
        </w:rPr>
        <w:t>– 9 класах шляхом поглибленого вивчення навчального предмета «Фізична культура» та доповненням ос</w:t>
      </w:r>
      <w:r>
        <w:rPr>
          <w:rFonts w:ascii="Times New Roman" w:hAnsi="Times New Roman"/>
          <w:sz w:val="28"/>
          <w:szCs w:val="28"/>
        </w:rPr>
        <w:t>вітньої програми факультативним</w:t>
      </w:r>
      <w:r w:rsidR="00100369">
        <w:rPr>
          <w:rFonts w:ascii="Times New Roman" w:hAnsi="Times New Roman"/>
          <w:sz w:val="28"/>
          <w:szCs w:val="28"/>
        </w:rPr>
        <w:t xml:space="preserve"> </w:t>
      </w:r>
      <w:r w:rsidR="00100369">
        <w:rPr>
          <w:rFonts w:ascii="Times New Roman" w:hAnsi="Times New Roman"/>
          <w:sz w:val="28"/>
          <w:szCs w:val="28"/>
        </w:rPr>
        <w:t xml:space="preserve">курсом </w:t>
      </w:r>
      <w:r w:rsidR="00100369">
        <w:rPr>
          <w:rFonts w:ascii="Times New Roman" w:hAnsi="Times New Roman"/>
          <w:sz w:val="28"/>
          <w:szCs w:val="28"/>
        </w:rPr>
        <w:t>військового спрямування «Вогнева підготовка»;</w:t>
      </w:r>
    </w:p>
    <w:p w:rsidR="0004141E" w:rsidRDefault="00100369" w:rsidP="005B38F7">
      <w:pPr>
        <w:pStyle w:val="a3"/>
        <w:numPr>
          <w:ilvl w:val="0"/>
          <w:numId w:val="26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10 – 11 класах шляхом вивчення профільного предмета «Фізична культура», збільшення обсягу вивчення предмета «Захист України»              та доповнення освітньої програми факультативним курсом військо</w:t>
      </w:r>
      <w:r>
        <w:rPr>
          <w:rFonts w:ascii="Times New Roman" w:hAnsi="Times New Roman"/>
          <w:sz w:val="28"/>
          <w:szCs w:val="28"/>
        </w:rPr>
        <w:t>вого спрямування «Громадянин – патріот».</w:t>
      </w:r>
    </w:p>
    <w:p w:rsidR="0004141E" w:rsidRDefault="00100369" w:rsidP="005B38F7">
      <w:pPr>
        <w:spacing w:before="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  <w:lang w:val="uk-UA"/>
        </w:rPr>
        <w:t>10 – 11 класах</w:t>
      </w:r>
      <w:r>
        <w:rPr>
          <w:sz w:val="28"/>
          <w:szCs w:val="28"/>
          <w:lang w:val="uk-UA"/>
        </w:rPr>
        <w:t xml:space="preserve"> з метою якісного засвоєння програмового матеріалу та  підготовки учнів до національного </w:t>
      </w:r>
      <w:proofErr w:type="spellStart"/>
      <w:r>
        <w:rPr>
          <w:sz w:val="28"/>
          <w:szCs w:val="28"/>
          <w:lang w:val="uk-UA"/>
        </w:rPr>
        <w:t>мультипредметного</w:t>
      </w:r>
      <w:proofErr w:type="spellEnd"/>
      <w:r>
        <w:rPr>
          <w:sz w:val="28"/>
          <w:szCs w:val="28"/>
          <w:lang w:val="uk-UA"/>
        </w:rPr>
        <w:t xml:space="preserve"> тесту (НМТ) введено додаткові години </w:t>
      </w:r>
      <w:r>
        <w:rPr>
          <w:rFonts w:eastAsiaTheme="minorHAnsi"/>
          <w:sz w:val="28"/>
          <w:szCs w:val="28"/>
          <w:lang w:val="uk-UA" w:eastAsia="en-US"/>
        </w:rPr>
        <w:t xml:space="preserve">на вивчення математики (рішення педагогічної ради від </w:t>
      </w:r>
      <w:r>
        <w:rPr>
          <w:rFonts w:eastAsiaTheme="minorHAnsi"/>
          <w:sz w:val="28"/>
          <w:szCs w:val="28"/>
          <w:lang w:val="uk-UA" w:eastAsia="en-US"/>
        </w:rPr>
        <w:t>28.08.2023, протокол № 1).</w:t>
      </w:r>
      <w:r>
        <w:rPr>
          <w:lang w:val="uk-UA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Розподіл годин на вивчення предметів інваріантної складової подано в таблиці</w:t>
      </w:r>
    </w:p>
    <w:tbl>
      <w:tblPr>
        <w:tblStyle w:val="a5"/>
        <w:tblW w:w="0" w:type="auto"/>
        <w:tblLook w:val="04A0"/>
      </w:tblPr>
      <w:tblGrid>
        <w:gridCol w:w="2518"/>
        <w:gridCol w:w="4111"/>
        <w:gridCol w:w="2941"/>
      </w:tblGrid>
      <w:tr w:rsidR="0004141E">
        <w:tc>
          <w:tcPr>
            <w:tcW w:w="2518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Клас (взвод)</w:t>
            </w:r>
          </w:p>
        </w:tc>
        <w:tc>
          <w:tcPr>
            <w:tcW w:w="4111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Предмети</w:t>
            </w:r>
          </w:p>
        </w:tc>
        <w:tc>
          <w:tcPr>
            <w:tcW w:w="2941" w:type="dxa"/>
            <w:vAlign w:val="center"/>
          </w:tcPr>
          <w:p w:rsidR="0004141E" w:rsidRPr="005B38F7" w:rsidRDefault="00100369" w:rsidP="005B38F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Години  на вивчення предметів</w:t>
            </w:r>
          </w:p>
        </w:tc>
      </w:tr>
      <w:tr w:rsidR="0004141E">
        <w:trPr>
          <w:trHeight w:val="453"/>
        </w:trPr>
        <w:tc>
          <w:tcPr>
            <w:tcW w:w="2518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10-А, 10-Б, 10-В</w:t>
            </w:r>
          </w:p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(31, 32, 33 взводи)</w:t>
            </w:r>
          </w:p>
        </w:tc>
        <w:tc>
          <w:tcPr>
            <w:tcW w:w="4111" w:type="dxa"/>
          </w:tcPr>
          <w:p w:rsidR="0004141E" w:rsidRPr="005B38F7" w:rsidRDefault="00100369" w:rsidP="005B38F7">
            <w:pPr>
              <w:pStyle w:val="a3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 xml:space="preserve">фізична культура 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захист України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941" w:type="dxa"/>
          </w:tcPr>
          <w:p w:rsidR="0004141E" w:rsidRPr="005B38F7" w:rsidRDefault="00100369" w:rsidP="005B38F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3 години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 xml:space="preserve">по </w:t>
            </w: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0,5 годин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0,5 годин</w:t>
            </w:r>
          </w:p>
        </w:tc>
      </w:tr>
      <w:tr w:rsidR="0004141E">
        <w:trPr>
          <w:trHeight w:val="453"/>
        </w:trPr>
        <w:tc>
          <w:tcPr>
            <w:tcW w:w="2518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11-А, 11-Б</w:t>
            </w:r>
          </w:p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(41, 42 взводи)</w:t>
            </w:r>
          </w:p>
        </w:tc>
        <w:tc>
          <w:tcPr>
            <w:tcW w:w="4111" w:type="dxa"/>
          </w:tcPr>
          <w:p w:rsidR="0004141E" w:rsidRPr="005B38F7" w:rsidRDefault="00100369" w:rsidP="005B38F7">
            <w:pPr>
              <w:pStyle w:val="a3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 xml:space="preserve">фізична культура 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захист України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941" w:type="dxa"/>
          </w:tcPr>
          <w:p w:rsidR="0004141E" w:rsidRPr="005B38F7" w:rsidRDefault="00100369" w:rsidP="005B38F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3 години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1 годині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1 годині</w:t>
            </w:r>
          </w:p>
        </w:tc>
      </w:tr>
    </w:tbl>
    <w:p w:rsidR="0004141E" w:rsidRDefault="00100369" w:rsidP="005B38F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Вибір навчальних предметів, факультативних курсів для реалізації інваріантного та варіативного компонентів навчального </w:t>
      </w:r>
      <w:r>
        <w:rPr>
          <w:sz w:val="28"/>
          <w:szCs w:val="28"/>
          <w:lang w:val="uk-UA"/>
        </w:rPr>
        <w:t xml:space="preserve">плану визначені                з урахуванням освітніх запитів учнів, батьків ліцеїстів, кадрового та матеріально-технічного забезпечення закладу та спрямовані на поглиблене </w:t>
      </w:r>
      <w:r>
        <w:rPr>
          <w:sz w:val="28"/>
          <w:szCs w:val="28"/>
          <w:lang w:val="uk-UA"/>
        </w:rPr>
        <w:lastRenderedPageBreak/>
        <w:t>військово-фізичне виховання та підготовку ліцеїстів для продовження навчання у закл</w:t>
      </w:r>
      <w:r>
        <w:rPr>
          <w:sz w:val="28"/>
          <w:szCs w:val="28"/>
          <w:lang w:val="uk-UA"/>
        </w:rPr>
        <w:t>адах  вищої освіти єдиної системи військової освіти.</w:t>
      </w:r>
    </w:p>
    <w:p w:rsidR="0004141E" w:rsidRDefault="00100369" w:rsidP="005B38F7">
      <w:pPr>
        <w:spacing w:before="4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Варіативний компонент навчального плану використано для розвитку нахилів і здібностей здобувачів освіти та зорієнтовані на отримання загальної середньої освіти, з врахуванням предметів, необхідних для вс</w:t>
      </w:r>
      <w:r>
        <w:rPr>
          <w:sz w:val="28"/>
          <w:szCs w:val="28"/>
          <w:lang w:val="uk-UA"/>
        </w:rPr>
        <w:t>тупу у   цивільні та військові установи вищої освіти</w:t>
      </w:r>
      <w:r>
        <w:rPr>
          <w:rFonts w:eastAsiaTheme="minorHAnsi"/>
          <w:sz w:val="28"/>
          <w:szCs w:val="28"/>
          <w:lang w:val="uk-UA" w:eastAsia="en-US"/>
        </w:rPr>
        <w:t xml:space="preserve"> (рішення педагогічної ради              від 28.08.2023, протокол № 1).</w:t>
      </w:r>
    </w:p>
    <w:tbl>
      <w:tblPr>
        <w:tblStyle w:val="a5"/>
        <w:tblW w:w="0" w:type="auto"/>
        <w:tblLook w:val="04A0"/>
      </w:tblPr>
      <w:tblGrid>
        <w:gridCol w:w="2093"/>
        <w:gridCol w:w="4819"/>
        <w:gridCol w:w="2658"/>
      </w:tblGrid>
      <w:tr w:rsidR="0004141E">
        <w:tc>
          <w:tcPr>
            <w:tcW w:w="2093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Клас (взвод)</w:t>
            </w:r>
          </w:p>
        </w:tc>
        <w:tc>
          <w:tcPr>
            <w:tcW w:w="4819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Предмети</w:t>
            </w:r>
          </w:p>
        </w:tc>
        <w:tc>
          <w:tcPr>
            <w:tcW w:w="2658" w:type="dxa"/>
            <w:vAlign w:val="center"/>
          </w:tcPr>
          <w:p w:rsidR="0004141E" w:rsidRPr="005B38F7" w:rsidRDefault="00100369" w:rsidP="005B38F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Години  на вивчення предметів</w:t>
            </w:r>
          </w:p>
        </w:tc>
      </w:tr>
      <w:tr w:rsidR="0004141E">
        <w:trPr>
          <w:trHeight w:val="453"/>
        </w:trPr>
        <w:tc>
          <w:tcPr>
            <w:tcW w:w="2093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8-А</w:t>
            </w:r>
          </w:p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(11 взвод)</w:t>
            </w:r>
          </w:p>
        </w:tc>
        <w:tc>
          <w:tcPr>
            <w:tcW w:w="4819" w:type="dxa"/>
          </w:tcPr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b/>
                <w:sz w:val="24"/>
                <w:szCs w:val="28"/>
              </w:rPr>
              <w:t>Факультативи: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«Вогнева підготовка»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 xml:space="preserve">«Синтаксис простого та </w:t>
            </w: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ускладненого речення»</w:t>
            </w:r>
          </w:p>
        </w:tc>
        <w:tc>
          <w:tcPr>
            <w:tcW w:w="2658" w:type="dxa"/>
          </w:tcPr>
          <w:p w:rsidR="0004141E" w:rsidRPr="005B38F7" w:rsidRDefault="0004141E" w:rsidP="005B38F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1 година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357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1 година</w:t>
            </w:r>
          </w:p>
        </w:tc>
      </w:tr>
      <w:tr w:rsidR="0004141E">
        <w:trPr>
          <w:trHeight w:val="453"/>
        </w:trPr>
        <w:tc>
          <w:tcPr>
            <w:tcW w:w="2093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 xml:space="preserve">9-А,  9-Б  </w:t>
            </w:r>
          </w:p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(21,22 взводи)</w:t>
            </w:r>
          </w:p>
        </w:tc>
        <w:tc>
          <w:tcPr>
            <w:tcW w:w="4819" w:type="dxa"/>
          </w:tcPr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b/>
                <w:sz w:val="24"/>
                <w:szCs w:val="28"/>
              </w:rPr>
              <w:t>Факультатив: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«Вогнева підготовка»</w:t>
            </w:r>
          </w:p>
        </w:tc>
        <w:tc>
          <w:tcPr>
            <w:tcW w:w="2658" w:type="dxa"/>
          </w:tcPr>
          <w:p w:rsidR="0004141E" w:rsidRPr="005B38F7" w:rsidRDefault="0004141E" w:rsidP="005B38F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1 годині</w:t>
            </w:r>
          </w:p>
        </w:tc>
      </w:tr>
      <w:tr w:rsidR="0004141E">
        <w:trPr>
          <w:trHeight w:val="453"/>
        </w:trPr>
        <w:tc>
          <w:tcPr>
            <w:tcW w:w="2093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10-А, 10-Б, 10-В</w:t>
            </w:r>
          </w:p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(31, 32, 33 взводи)</w:t>
            </w:r>
          </w:p>
        </w:tc>
        <w:tc>
          <w:tcPr>
            <w:tcW w:w="4819" w:type="dxa"/>
          </w:tcPr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b/>
                <w:sz w:val="24"/>
                <w:szCs w:val="28"/>
              </w:rPr>
              <w:t>Факультативи: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«Громадянин – патріот»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«Орфографічний практикум»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 xml:space="preserve">«Практикум із синтаксису української </w:t>
            </w: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мови»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«Готуємося до ЗНО»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«Іноземна мова у професійному самовизначенні»</w:t>
            </w:r>
          </w:p>
        </w:tc>
        <w:tc>
          <w:tcPr>
            <w:tcW w:w="2658" w:type="dxa"/>
          </w:tcPr>
          <w:p w:rsidR="0004141E" w:rsidRPr="005B38F7" w:rsidRDefault="0004141E" w:rsidP="005B38F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1 годині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357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0,5  годин</w:t>
            </w:r>
          </w:p>
          <w:p w:rsidR="0004141E" w:rsidRPr="005B38F7" w:rsidRDefault="0004141E" w:rsidP="005B38F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357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0,5  годин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1 годині</w:t>
            </w:r>
          </w:p>
          <w:p w:rsidR="0004141E" w:rsidRPr="005B38F7" w:rsidRDefault="0004141E" w:rsidP="005B38F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1 годині</w:t>
            </w:r>
          </w:p>
        </w:tc>
      </w:tr>
      <w:tr w:rsidR="0004141E">
        <w:trPr>
          <w:trHeight w:val="453"/>
        </w:trPr>
        <w:tc>
          <w:tcPr>
            <w:tcW w:w="2093" w:type="dxa"/>
            <w:vAlign w:val="center"/>
          </w:tcPr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11-А, 11-Б</w:t>
            </w:r>
          </w:p>
          <w:p w:rsidR="0004141E" w:rsidRPr="005B38F7" w:rsidRDefault="00100369" w:rsidP="005B3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B38F7">
              <w:rPr>
                <w:rFonts w:eastAsiaTheme="minorHAnsi"/>
                <w:sz w:val="24"/>
                <w:szCs w:val="28"/>
                <w:lang w:eastAsia="en-US"/>
              </w:rPr>
              <w:t>(41, 42 взводи)</w:t>
            </w:r>
          </w:p>
        </w:tc>
        <w:tc>
          <w:tcPr>
            <w:tcW w:w="4819" w:type="dxa"/>
          </w:tcPr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b/>
                <w:sz w:val="24"/>
                <w:szCs w:val="28"/>
              </w:rPr>
              <w:t>Факультативи: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«Громадянин – патріот»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«Орфографічний практикум»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 xml:space="preserve">«Практикум із синтаксису </w:t>
            </w: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української мови»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«Готуємося до ЗНО»</w:t>
            </w:r>
          </w:p>
          <w:p w:rsidR="0004141E" w:rsidRPr="005B38F7" w:rsidRDefault="00100369" w:rsidP="005B38F7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«Іноземна мова у професійному самовизначенні»</w:t>
            </w:r>
          </w:p>
        </w:tc>
        <w:tc>
          <w:tcPr>
            <w:tcW w:w="2658" w:type="dxa"/>
          </w:tcPr>
          <w:p w:rsidR="0004141E" w:rsidRPr="005B38F7" w:rsidRDefault="0004141E" w:rsidP="005B38F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1 годині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357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0,5  годин</w:t>
            </w:r>
          </w:p>
          <w:p w:rsidR="0004141E" w:rsidRPr="005B38F7" w:rsidRDefault="0004141E" w:rsidP="005B38F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357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0,5  годин</w:t>
            </w: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1 годині</w:t>
            </w:r>
          </w:p>
          <w:p w:rsidR="0004141E" w:rsidRPr="005B38F7" w:rsidRDefault="0004141E" w:rsidP="005B38F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  <w:p w:rsidR="0004141E" w:rsidRPr="005B38F7" w:rsidRDefault="00100369" w:rsidP="005B3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B38F7">
              <w:rPr>
                <w:rFonts w:ascii="Times New Roman" w:eastAsiaTheme="minorHAnsi" w:hAnsi="Times New Roman"/>
                <w:sz w:val="24"/>
                <w:szCs w:val="28"/>
              </w:rPr>
              <w:t>по 1 годині</w:t>
            </w:r>
          </w:p>
        </w:tc>
      </w:tr>
    </w:tbl>
    <w:p w:rsidR="0004141E" w:rsidRDefault="00100369" w:rsidP="005B38F7">
      <w:pPr>
        <w:widowControl w:val="0"/>
        <w:suppressAutoHyphens/>
        <w:spacing w:before="12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активні бойові дії на території Україні, освітній процес в ліцеї протягом навчального року було </w:t>
      </w:r>
      <w:r w:rsidR="005B38F7">
        <w:rPr>
          <w:sz w:val="28"/>
          <w:szCs w:val="28"/>
          <w:lang w:val="uk-UA"/>
        </w:rPr>
        <w:t xml:space="preserve">організовано </w:t>
      </w:r>
      <w:r>
        <w:rPr>
          <w:sz w:val="28"/>
          <w:szCs w:val="28"/>
          <w:lang w:val="uk-UA"/>
        </w:rPr>
        <w:t>з використанням технологій дистанційного навчання (наказ від 28.08.2023 № 81 «Про</w:t>
      </w:r>
      <w:r>
        <w:t xml:space="preserve"> </w:t>
      </w:r>
      <w:r>
        <w:rPr>
          <w:sz w:val="28"/>
          <w:szCs w:val="28"/>
          <w:lang w:val="uk-UA"/>
        </w:rPr>
        <w:t>організацію освітнього процесу з використанням технологій дистанційного навчання»).</w:t>
      </w:r>
    </w:p>
    <w:p w:rsidR="0004141E" w:rsidRDefault="00100369" w:rsidP="005B38F7">
      <w:pPr>
        <w:widowControl w:val="0"/>
        <w:suppressAutoHyphens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перевірки електронних класних журналів, звітів вчителів щодо заг</w:t>
      </w:r>
      <w:r>
        <w:rPr>
          <w:sz w:val="28"/>
          <w:szCs w:val="28"/>
          <w:lang w:val="uk-UA"/>
        </w:rPr>
        <w:t xml:space="preserve">альної кількості фактично проведених уроків за навчальний рік визначено, що </w:t>
      </w:r>
      <w:r>
        <w:rPr>
          <w:b/>
          <w:sz w:val="28"/>
          <w:szCs w:val="28"/>
          <w:lang w:val="uk-UA"/>
        </w:rPr>
        <w:t xml:space="preserve">станом на 31.05.2024 </w:t>
      </w:r>
      <w:r>
        <w:rPr>
          <w:sz w:val="28"/>
          <w:szCs w:val="28"/>
          <w:lang w:val="uk-UA"/>
        </w:rPr>
        <w:t>року програми з навчальних предметів інваріантної та варіативної складової частин річного навчального плану виконано в повному обсязі.</w:t>
      </w:r>
    </w:p>
    <w:p w:rsidR="0004141E" w:rsidRDefault="00100369" w:rsidP="005B38F7">
      <w:pPr>
        <w:widowControl w:val="0"/>
        <w:suppressAutoHyphens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класних журнал</w:t>
      </w:r>
      <w:r>
        <w:rPr>
          <w:sz w:val="28"/>
          <w:szCs w:val="28"/>
          <w:lang w:val="uk-UA"/>
        </w:rPr>
        <w:t xml:space="preserve">ів засвідчила достатню кількість уроків розвитку мовлення, позакласного читання, дотримання єдиного мовного режиму учнями з української мови та літератури, зарубіжної літератури. Контроль та оцінювання з чотирьох видів мовленнєвої діяльності з англійської </w:t>
      </w:r>
      <w:r>
        <w:rPr>
          <w:sz w:val="28"/>
          <w:szCs w:val="28"/>
          <w:lang w:val="uk-UA"/>
        </w:rPr>
        <w:t xml:space="preserve">мови (аудіювання, говоріння, читання, письма) здійснено індивідуально шляхом поступового накопичення оцінок. </w:t>
      </w:r>
    </w:p>
    <w:p w:rsidR="0004141E" w:rsidRDefault="00100369" w:rsidP="005B38F7">
      <w:pPr>
        <w:widowControl w:val="0"/>
        <w:suppressAutoHyphens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Дотримано програмової кількості всіх видів контролю навчальної </w:t>
      </w:r>
      <w:r>
        <w:rPr>
          <w:sz w:val="28"/>
          <w:szCs w:val="28"/>
          <w:lang w:val="uk-UA"/>
        </w:rPr>
        <w:lastRenderedPageBreak/>
        <w:t>діяльності у 8 – 11 класах з математики, виконання практичних робіт із фізики, хімі</w:t>
      </w:r>
      <w:r>
        <w:rPr>
          <w:sz w:val="28"/>
          <w:szCs w:val="28"/>
          <w:lang w:val="uk-UA"/>
        </w:rPr>
        <w:t xml:space="preserve">ї, географії, біології, інформатики. </w:t>
      </w:r>
    </w:p>
    <w:p w:rsidR="0004141E" w:rsidRDefault="00100369" w:rsidP="005B38F7">
      <w:pPr>
        <w:widowControl w:val="0"/>
        <w:suppressAutoHyphens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класних журналах з предметів інваріантної складової навчального плану ведеться облік видів діяльності учнів, які підлягають оцінюванню.              Своєчасно проводився тематичний облік знань. Семестрове та річне оц</w:t>
      </w:r>
      <w:r>
        <w:rPr>
          <w:sz w:val="28"/>
          <w:szCs w:val="28"/>
          <w:lang w:val="uk-UA"/>
        </w:rPr>
        <w:t>інювання відповідає вимогам (відведена колонка для виставлення скоригованого балу після семестрового оцінювання).</w:t>
      </w:r>
    </w:p>
    <w:p w:rsidR="0004141E" w:rsidRDefault="00100369" w:rsidP="005B38F7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val="uk-UA" w:bidi="en-US"/>
        </w:rPr>
      </w:pPr>
      <w:r>
        <w:rPr>
          <w:rFonts w:eastAsia="Lucida Sans Unicode"/>
          <w:sz w:val="28"/>
          <w:szCs w:val="28"/>
          <w:lang w:val="uk-UA" w:bidi="en-US"/>
        </w:rPr>
        <w:t>Ліцеїсти 8 – 11 класів мають достатню кількість поточних оцінок, отриманих учнями  під час дистанційного навчання.</w:t>
      </w:r>
    </w:p>
    <w:p w:rsidR="0004141E" w:rsidRDefault="00100369" w:rsidP="005B38F7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  <w:lang w:val="uk-UA" w:bidi="en-US"/>
        </w:rPr>
      </w:pPr>
      <w:r>
        <w:rPr>
          <w:sz w:val="28"/>
          <w:szCs w:val="28"/>
          <w:lang w:val="uk-UA"/>
        </w:rPr>
        <w:t>Виходячи з вищезазначеного</w:t>
      </w:r>
    </w:p>
    <w:p w:rsidR="0004141E" w:rsidRDefault="00100369" w:rsidP="005B3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04141E" w:rsidRDefault="00100369" w:rsidP="005B38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Вважати річний навчальний план та навчальні програми у 8 – 11 класах за 2023/2024 навчальний рік виконаними </w:t>
      </w:r>
    </w:p>
    <w:p w:rsidR="0004141E" w:rsidRDefault="00100369" w:rsidP="005B38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Заступнику начальника ліцею з навчальної роботи Кучер Н.Г.:</w:t>
      </w:r>
    </w:p>
    <w:p w:rsidR="0004141E" w:rsidRDefault="00100369" w:rsidP="005B38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Контролювати дотримання вчителями при плануванні вимог програми з навчального предмету </w:t>
      </w:r>
    </w:p>
    <w:p w:rsidR="0004141E" w:rsidRDefault="00100369" w:rsidP="005B38F7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серпень 2024</w:t>
      </w:r>
    </w:p>
    <w:p w:rsidR="0004141E" w:rsidRDefault="00100369" w:rsidP="005B38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Контролювати дотримання нормативності проведення перевірочних робіт з предметів</w:t>
      </w:r>
    </w:p>
    <w:p w:rsidR="0004141E" w:rsidRDefault="00100369" w:rsidP="005B38F7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2024/2025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141E" w:rsidRDefault="00100369" w:rsidP="005B38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</w:rPr>
        <w:t>Вчителям-предметникам:</w:t>
      </w:r>
    </w:p>
    <w:p w:rsidR="0004141E" w:rsidRDefault="005B38F7" w:rsidP="005B38F7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100369">
        <w:rPr>
          <w:rFonts w:ascii="Times New Roman" w:hAnsi="Times New Roman"/>
          <w:sz w:val="28"/>
          <w:szCs w:val="28"/>
        </w:rPr>
        <w:t xml:space="preserve">При складанні </w:t>
      </w:r>
      <w:r w:rsidR="00100369">
        <w:rPr>
          <w:rFonts w:ascii="Times New Roman" w:hAnsi="Times New Roman"/>
          <w:sz w:val="28"/>
          <w:szCs w:val="28"/>
        </w:rPr>
        <w:t>календарного планування дотримувати вимог до виконання змісту навчальної програми</w:t>
      </w:r>
    </w:p>
    <w:p w:rsidR="0004141E" w:rsidRDefault="00100369" w:rsidP="005B38F7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серпень 2024</w:t>
      </w:r>
    </w:p>
    <w:p w:rsidR="0004141E" w:rsidRDefault="005B38F7" w:rsidP="005B38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100369">
        <w:rPr>
          <w:rFonts w:ascii="Times New Roman" w:hAnsi="Times New Roman"/>
          <w:sz w:val="28"/>
          <w:szCs w:val="28"/>
        </w:rPr>
        <w:t xml:space="preserve">Дотримувати вимог щодо нормативності у проведенні перевірочних робіт  </w:t>
      </w:r>
    </w:p>
    <w:p w:rsidR="0004141E" w:rsidRDefault="00100369" w:rsidP="005B38F7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року</w:t>
      </w:r>
    </w:p>
    <w:p w:rsidR="0004141E" w:rsidRDefault="005B38F7" w:rsidP="005B38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100369">
        <w:rPr>
          <w:rFonts w:ascii="Times New Roman" w:hAnsi="Times New Roman"/>
          <w:sz w:val="28"/>
          <w:szCs w:val="28"/>
        </w:rPr>
        <w:t>Оцінювання навчальних досягнень здійснювати відповідно до чинних критеріїв о</w:t>
      </w:r>
      <w:r w:rsidR="00100369">
        <w:rPr>
          <w:rFonts w:ascii="Times New Roman" w:hAnsi="Times New Roman"/>
          <w:sz w:val="28"/>
          <w:szCs w:val="28"/>
        </w:rPr>
        <w:t>цінювання</w:t>
      </w:r>
    </w:p>
    <w:p w:rsidR="0004141E" w:rsidRDefault="00100369" w:rsidP="005B38F7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</w:t>
      </w:r>
    </w:p>
    <w:p w:rsidR="0004141E" w:rsidRDefault="005B38F7" w:rsidP="005B38F7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100369">
        <w:rPr>
          <w:rFonts w:ascii="Times New Roman" w:hAnsi="Times New Roman"/>
          <w:sz w:val="28"/>
          <w:szCs w:val="28"/>
        </w:rPr>
        <w:t>Дотримувати вимог щодо нормативності у проведенні перевірочних робіт та методичних рекомендацій щодо заповнення сторінок електронних журналів</w:t>
      </w:r>
    </w:p>
    <w:p w:rsidR="0004141E" w:rsidRDefault="00100369" w:rsidP="005B38F7">
      <w:pPr>
        <w:pStyle w:val="a3"/>
        <w:tabs>
          <w:tab w:val="left" w:pos="284"/>
        </w:tabs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2024/2025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141E" w:rsidRDefault="005B38F7" w:rsidP="005B38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100369">
        <w:rPr>
          <w:rFonts w:ascii="Times New Roman" w:hAnsi="Times New Roman"/>
          <w:sz w:val="28"/>
          <w:szCs w:val="28"/>
        </w:rPr>
        <w:t>Організувати у 8 – 11 класах проведення вхідного діагностування знань у</w:t>
      </w:r>
      <w:r w:rsidR="00100369">
        <w:rPr>
          <w:rFonts w:ascii="Times New Roman" w:hAnsi="Times New Roman"/>
          <w:sz w:val="28"/>
          <w:szCs w:val="28"/>
        </w:rPr>
        <w:t>чнів з метою визначення рівня навчальних досягнень ліцеїстів та планування роботи із систематизації, узагальнення та закріплення навчального матеріалу</w:t>
      </w:r>
    </w:p>
    <w:p w:rsidR="0004141E" w:rsidRDefault="00100369" w:rsidP="005B38F7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початку 2024/2025 навчального року </w:t>
      </w:r>
    </w:p>
    <w:p w:rsidR="0004141E" w:rsidRDefault="00100369" w:rsidP="005B38F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Контроль за виконанням даного наказу покласти на заступника </w:t>
      </w:r>
      <w:r>
        <w:rPr>
          <w:rFonts w:ascii="Times New Roman" w:hAnsi="Times New Roman"/>
          <w:sz w:val="28"/>
          <w:szCs w:val="28"/>
        </w:rPr>
        <w:t>нач</w:t>
      </w:r>
      <w:r>
        <w:rPr>
          <w:rFonts w:ascii="Times New Roman" w:hAnsi="Times New Roman"/>
          <w:sz w:val="28"/>
          <w:szCs w:val="28"/>
        </w:rPr>
        <w:t>альника ліцею з навчальної роботи Кучер Н.Г.</w:t>
      </w:r>
    </w:p>
    <w:p w:rsidR="0004141E" w:rsidRDefault="0004141E" w:rsidP="005B38F7">
      <w:pPr>
        <w:jc w:val="both"/>
        <w:rPr>
          <w:sz w:val="28"/>
          <w:szCs w:val="28"/>
          <w:lang w:val="uk-UA"/>
        </w:rPr>
      </w:pPr>
    </w:p>
    <w:p w:rsidR="005B38F7" w:rsidRDefault="005B38F7" w:rsidP="005B38F7">
      <w:pPr>
        <w:jc w:val="both"/>
        <w:rPr>
          <w:sz w:val="28"/>
          <w:szCs w:val="28"/>
          <w:lang w:val="uk-UA"/>
        </w:rPr>
      </w:pPr>
    </w:p>
    <w:p w:rsidR="0004141E" w:rsidRDefault="00100369" w:rsidP="005B3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ліцею     </w:t>
      </w:r>
      <w:r>
        <w:rPr>
          <w:sz w:val="28"/>
          <w:szCs w:val="28"/>
          <w:lang w:val="uk-UA"/>
        </w:rPr>
        <w:tab/>
        <w:t xml:space="preserve">                                                 Сергій ФОРОСТОВЕЦЬ</w:t>
      </w:r>
    </w:p>
    <w:p w:rsidR="0004141E" w:rsidRDefault="005B38F7" w:rsidP="005B38F7">
      <w:pPr>
        <w:ind w:left="357"/>
        <w:jc w:val="both"/>
        <w:rPr>
          <w:sz w:val="20"/>
          <w:szCs w:val="20"/>
          <w:lang w:val="uk-UA"/>
        </w:rPr>
      </w:pPr>
      <w:r w:rsidRPr="005B38F7">
        <w:rPr>
          <w:sz w:val="20"/>
          <w:szCs w:val="20"/>
          <w:lang w:val="uk-UA"/>
        </w:rPr>
        <w:t>Наталія КУЧЕР</w:t>
      </w:r>
      <w:r w:rsidR="00100369" w:rsidRPr="005B38F7">
        <w:rPr>
          <w:sz w:val="20"/>
          <w:szCs w:val="20"/>
          <w:lang w:val="uk-UA"/>
        </w:rPr>
        <w:t xml:space="preserve">, </w:t>
      </w:r>
      <w:r w:rsidRPr="005B38F7">
        <w:rPr>
          <w:sz w:val="20"/>
          <w:szCs w:val="20"/>
          <w:lang w:val="uk-UA"/>
        </w:rPr>
        <w:t>725-84-54</w:t>
      </w:r>
    </w:p>
    <w:p w:rsidR="0004141E" w:rsidRDefault="0004141E">
      <w:pPr>
        <w:ind w:left="360"/>
        <w:rPr>
          <w:color w:val="FF0000"/>
          <w:lang w:val="uk-UA"/>
        </w:rPr>
      </w:pPr>
    </w:p>
    <w:p w:rsidR="0004141E" w:rsidRDefault="000414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before="240" w:line="360" w:lineRule="auto"/>
        <w:jc w:val="both"/>
        <w:rPr>
          <w:sz w:val="28"/>
          <w:szCs w:val="28"/>
          <w:lang w:val="uk-UA"/>
        </w:rPr>
        <w:sectPr w:rsidR="0004141E" w:rsidSect="005B38F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141E" w:rsidRDefault="0004141E">
      <w:pPr>
        <w:ind w:right="-8"/>
        <w:rPr>
          <w:sz w:val="28"/>
          <w:szCs w:val="28"/>
          <w:lang w:val="uk-UA"/>
        </w:rPr>
      </w:pPr>
    </w:p>
    <w:sectPr w:rsidR="0004141E" w:rsidSect="000414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FE2"/>
    <w:multiLevelType w:val="hybridMultilevel"/>
    <w:tmpl w:val="182A4BB6"/>
    <w:lvl w:ilvl="0" w:tplc="F7D07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3AC1"/>
    <w:multiLevelType w:val="hybridMultilevel"/>
    <w:tmpl w:val="7DE05B30"/>
    <w:lvl w:ilvl="0" w:tplc="54584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31976"/>
    <w:multiLevelType w:val="hybridMultilevel"/>
    <w:tmpl w:val="E5F0B9FA"/>
    <w:lvl w:ilvl="0" w:tplc="B46ADFB6">
      <w:numFmt w:val="bullet"/>
      <w:lvlText w:val="-"/>
      <w:lvlJc w:val="left"/>
      <w:pPr>
        <w:ind w:left="117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A755D04"/>
    <w:multiLevelType w:val="multilevel"/>
    <w:tmpl w:val="6CF20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3F4327A"/>
    <w:multiLevelType w:val="multilevel"/>
    <w:tmpl w:val="5AEEE8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662CF0"/>
    <w:multiLevelType w:val="hybridMultilevel"/>
    <w:tmpl w:val="DDA80EF0"/>
    <w:lvl w:ilvl="0" w:tplc="4B86E0C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43129"/>
    <w:multiLevelType w:val="hybridMultilevel"/>
    <w:tmpl w:val="3CF048DC"/>
    <w:lvl w:ilvl="0" w:tplc="B46ADFB6">
      <w:numFmt w:val="bullet"/>
      <w:lvlText w:val="-"/>
      <w:lvlJc w:val="left"/>
      <w:pPr>
        <w:ind w:left="117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1DFD21CA"/>
    <w:multiLevelType w:val="multilevel"/>
    <w:tmpl w:val="0F94EC2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Lucida Sans Unicode" w:hAnsi="Times New Roman" w:cs="Tahoma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5F73E85"/>
    <w:multiLevelType w:val="hybridMultilevel"/>
    <w:tmpl w:val="C0C2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7665CA"/>
    <w:multiLevelType w:val="hybridMultilevel"/>
    <w:tmpl w:val="912E003C"/>
    <w:lvl w:ilvl="0" w:tplc="DA6E635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9228E"/>
    <w:multiLevelType w:val="hybridMultilevel"/>
    <w:tmpl w:val="1096C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7791"/>
    <w:multiLevelType w:val="hybridMultilevel"/>
    <w:tmpl w:val="E7D8E830"/>
    <w:lvl w:ilvl="0" w:tplc="9DEA9E9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C705E"/>
    <w:multiLevelType w:val="hybridMultilevel"/>
    <w:tmpl w:val="B4AEE7F6"/>
    <w:lvl w:ilvl="0" w:tplc="34E0D742">
      <w:start w:val="31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B491A"/>
    <w:multiLevelType w:val="hybridMultilevel"/>
    <w:tmpl w:val="8138D518"/>
    <w:lvl w:ilvl="0" w:tplc="F7D07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2707AC"/>
    <w:multiLevelType w:val="hybridMultilevel"/>
    <w:tmpl w:val="FF6096F2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57967"/>
    <w:multiLevelType w:val="multilevel"/>
    <w:tmpl w:val="66927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5EF2657"/>
    <w:multiLevelType w:val="hybridMultilevel"/>
    <w:tmpl w:val="3B7A08FC"/>
    <w:lvl w:ilvl="0" w:tplc="F7D07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DE66CB"/>
    <w:multiLevelType w:val="multilevel"/>
    <w:tmpl w:val="19867F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8">
    <w:nsid w:val="509B7E9B"/>
    <w:multiLevelType w:val="multilevel"/>
    <w:tmpl w:val="B146438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Courier New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eastAsia="Calibri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Courier New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Courier New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Courier New" w:hint="default"/>
      </w:rPr>
    </w:lvl>
  </w:abstractNum>
  <w:abstractNum w:abstractNumId="19">
    <w:nsid w:val="53577810"/>
    <w:multiLevelType w:val="hybridMultilevel"/>
    <w:tmpl w:val="9CC4B1B4"/>
    <w:lvl w:ilvl="0" w:tplc="54584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05219"/>
    <w:multiLevelType w:val="hybridMultilevel"/>
    <w:tmpl w:val="A2BE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37B5B"/>
    <w:multiLevelType w:val="hybridMultilevel"/>
    <w:tmpl w:val="6E52D6B0"/>
    <w:lvl w:ilvl="0" w:tplc="38D0D6E8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FE21A82"/>
    <w:multiLevelType w:val="multilevel"/>
    <w:tmpl w:val="125812E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/>
      </w:rPr>
    </w:lvl>
  </w:abstractNum>
  <w:abstractNum w:abstractNumId="23">
    <w:nsid w:val="60DB7DF7"/>
    <w:multiLevelType w:val="hybridMultilevel"/>
    <w:tmpl w:val="7EBEE15C"/>
    <w:lvl w:ilvl="0" w:tplc="54584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F287E"/>
    <w:multiLevelType w:val="hybridMultilevel"/>
    <w:tmpl w:val="39C0045A"/>
    <w:lvl w:ilvl="0" w:tplc="54584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4"/>
  </w:num>
  <w:num w:numId="4">
    <w:abstractNumId w:val="1"/>
  </w:num>
  <w:num w:numId="5">
    <w:abstractNumId w:val="17"/>
  </w:num>
  <w:num w:numId="6">
    <w:abstractNumId w:val="23"/>
  </w:num>
  <w:num w:numId="7">
    <w:abstractNumId w:val="14"/>
  </w:num>
  <w:num w:numId="8">
    <w:abstractNumId w:val="11"/>
  </w:num>
  <w:num w:numId="9">
    <w:abstractNumId w:val="2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15"/>
  </w:num>
  <w:num w:numId="16">
    <w:abstractNumId w:val="8"/>
  </w:num>
  <w:num w:numId="17">
    <w:abstractNumId w:val="13"/>
  </w:num>
  <w:num w:numId="18">
    <w:abstractNumId w:val="0"/>
  </w:num>
  <w:num w:numId="19">
    <w:abstractNumId w:val="3"/>
  </w:num>
  <w:num w:numId="20">
    <w:abstractNumId w:val="21"/>
  </w:num>
  <w:num w:numId="21">
    <w:abstractNumId w:val="4"/>
  </w:num>
  <w:num w:numId="22">
    <w:abstractNumId w:val="16"/>
  </w:num>
  <w:num w:numId="23">
    <w:abstractNumId w:val="6"/>
  </w:num>
  <w:num w:numId="24">
    <w:abstractNumId w:val="2"/>
  </w:num>
  <w:num w:numId="25">
    <w:abstractNumId w:val="1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41E"/>
    <w:rsid w:val="0004141E"/>
    <w:rsid w:val="00100369"/>
    <w:rsid w:val="005B38F7"/>
    <w:rsid w:val="0067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rmal (Web)"/>
    <w:basedOn w:val="a"/>
    <w:unhideWhenUsed/>
    <w:rsid w:val="0004141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4141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141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41E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041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41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4141E"/>
  </w:style>
  <w:style w:type="paragraph" w:styleId="ab">
    <w:name w:val="footer"/>
    <w:basedOn w:val="a"/>
    <w:link w:val="ac"/>
    <w:uiPriority w:val="99"/>
    <w:unhideWhenUsed/>
    <w:rsid w:val="000414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141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4141E"/>
    <w:pPr>
      <w:suppressAutoHyphens/>
      <w:ind w:firstLine="709"/>
    </w:pPr>
    <w:rPr>
      <w:sz w:val="28"/>
      <w:szCs w:val="20"/>
      <w:lang w:val="uk-UA" w:eastAsia="ar-SA"/>
    </w:rPr>
  </w:style>
  <w:style w:type="character" w:styleId="ad">
    <w:name w:val="Hyperlink"/>
    <w:basedOn w:val="a0"/>
    <w:rsid w:val="000414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yatuvalnik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tuvalnik@ryatuvalnik.com.u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50AD2-F9F9-4C48-81F4-A2AB43FF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2021-06-22T12:15:00Z</cp:lastPrinted>
  <dcterms:created xsi:type="dcterms:W3CDTF">2024-09-23T09:47:00Z</dcterms:created>
  <dcterms:modified xsi:type="dcterms:W3CDTF">2024-09-23T09:47:00Z</dcterms:modified>
</cp:coreProperties>
</file>