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9F" w:rsidRDefault="00CE539F" w:rsidP="00CE539F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Про підсумки комплексного</w:t>
      </w: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педагогічного моніторингу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якості освіти за</w:t>
      </w:r>
    </w:p>
    <w:p w:rsidR="00CE539F" w:rsidRDefault="00CE539F" w:rsidP="00CE539F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/202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навчальний рік</w:t>
      </w:r>
    </w:p>
    <w:p w:rsidR="00CE539F" w:rsidRPr="00791D49" w:rsidRDefault="00CE539F" w:rsidP="00CE539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1D4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Наявність відкритої, прозорої і зрозумілої для здобувачів освіти системи оцінювання їх навчальних досягнень</w:t>
      </w:r>
    </w:p>
    <w:p w:rsidR="00CE539F" w:rsidRDefault="00CE539F" w:rsidP="00CE539F">
      <w:pPr>
        <w:tabs>
          <w:tab w:val="left" w:pos="960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94AA4">
        <w:rPr>
          <w:rFonts w:ascii="Times New Roman" w:hAnsi="Times New Roman" w:cs="Times New Roman"/>
          <w:sz w:val="28"/>
          <w:szCs w:val="28"/>
          <w:lang w:val="uk-UA"/>
        </w:rPr>
        <w:t xml:space="preserve">цінювання навчальних досягнень ліцеїстів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4AA4">
        <w:rPr>
          <w:rFonts w:ascii="Times New Roman" w:hAnsi="Times New Roman" w:cs="Times New Roman"/>
          <w:sz w:val="28"/>
          <w:szCs w:val="28"/>
          <w:lang w:val="uk-UA"/>
        </w:rPr>
        <w:t>чителі здійснюють згідно з крит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еріями </w:t>
      </w:r>
      <w:r w:rsidRPr="00494AA4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відповідно до нормативних </w:t>
      </w:r>
      <w:proofErr w:type="spellStart"/>
      <w:r w:rsidRPr="00494AA4">
        <w:rPr>
          <w:rFonts w:ascii="Times New Roman" w:hAnsi="Times New Roman" w:cs="Times New Roman"/>
          <w:sz w:val="28"/>
          <w:szCs w:val="28"/>
          <w:lang w:val="uk-UA"/>
        </w:rPr>
        <w:t>документів:наказу</w:t>
      </w:r>
      <w:proofErr w:type="spellEnd"/>
      <w:r w:rsidRPr="00494AA4">
        <w:rPr>
          <w:rFonts w:ascii="Times New Roman" w:hAnsi="Times New Roman" w:cs="Times New Roman"/>
          <w:sz w:val="28"/>
          <w:szCs w:val="28"/>
          <w:lang w:val="uk-UA"/>
        </w:rPr>
        <w:t xml:space="preserve"> МОНМС від 14.04.2011 №329, наказу МОНУ від 05.05.2008 № 371.  </w:t>
      </w:r>
    </w:p>
    <w:p w:rsidR="00CE539F" w:rsidRPr="005924F8" w:rsidRDefault="00CE539F" w:rsidP="00CE539F">
      <w:pPr>
        <w:tabs>
          <w:tab w:val="left" w:pos="9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4F8">
        <w:rPr>
          <w:rFonts w:ascii="Times New Roman" w:hAnsi="Times New Roman" w:cs="Times New Roman"/>
          <w:sz w:val="28"/>
          <w:szCs w:val="28"/>
          <w:lang w:val="uk-UA"/>
        </w:rPr>
        <w:t>Інформація про критерії оцінювання розміщена на веб-сайті закладу освіти та у кожному класі на інформаційному стенді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D4662">
        <w:rPr>
          <w:rFonts w:ascii="Times New Roman" w:hAnsi="Times New Roman" w:cs="Times New Roman"/>
          <w:sz w:val="28"/>
          <w:szCs w:val="28"/>
          <w:lang w:val="uk-UA"/>
        </w:rPr>
        <w:t>Інформування батьків про критерії оцінювання відбувається на класних батьківських зборах, на які запрошуються й вчителі-</w:t>
      </w:r>
      <w:proofErr w:type="spellStart"/>
      <w:r w:rsidRPr="007D4662">
        <w:rPr>
          <w:rFonts w:ascii="Times New Roman" w:hAnsi="Times New Roman" w:cs="Times New Roman"/>
          <w:sz w:val="28"/>
          <w:szCs w:val="28"/>
          <w:lang w:val="uk-UA"/>
        </w:rPr>
        <w:t>предметники</w:t>
      </w:r>
      <w:proofErr w:type="spellEnd"/>
      <w:r w:rsidRPr="007D46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539F" w:rsidRPr="00494AA4" w:rsidRDefault="00CE539F" w:rsidP="00CE539F">
      <w:pPr>
        <w:tabs>
          <w:tab w:val="left" w:pos="9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AA4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прагнуть, щоб ліцеїсти та їхні батьки вважали, оцінювання результатів навчання справедливим і об’єктивним. Під час освітнього процесу вчителі пояснюють учням критерії оцінювання всіх видів усних та письмових робіт.</w:t>
      </w:r>
    </w:p>
    <w:p w:rsidR="00CE539F" w:rsidRPr="00494AA4" w:rsidRDefault="00CE539F" w:rsidP="00CE539F">
      <w:pPr>
        <w:tabs>
          <w:tab w:val="left" w:pos="9606"/>
        </w:tabs>
        <w:spacing w:after="0" w:line="240" w:lineRule="auto"/>
        <w:ind w:firstLine="567"/>
        <w:jc w:val="both"/>
        <w:rPr>
          <w:lang w:val="uk-UA"/>
        </w:rPr>
      </w:pPr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Система оцінювання в закладі освіти ґрунтується на </w:t>
      </w:r>
      <w:proofErr w:type="spellStart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компетентнісному</w:t>
      </w:r>
      <w:proofErr w:type="spellEnd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підході. Учителі застосовують формувальне оцінювання, що передбачає відстеження індивідуального розвитку учня, практикують </w:t>
      </w:r>
      <w:proofErr w:type="spellStart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Оскільки навчання проводиться з використанням дистанційних технологій, проводити  </w:t>
      </w:r>
      <w:proofErr w:type="spellStart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>взаємооцінювання</w:t>
      </w:r>
      <w:proofErr w:type="spellEnd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можливо лише в деяких </w:t>
      </w:r>
      <w:proofErr w:type="spellStart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>випадках.Педагоги</w:t>
      </w:r>
      <w:proofErr w:type="spellEnd"/>
      <w:r w:rsidRPr="00494A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регулярно надають учням ефективний зворотний зв’язок щодо їхньої роботи.  </w:t>
      </w:r>
    </w:p>
    <w:p w:rsidR="00CE539F" w:rsidRPr="00494AA4" w:rsidRDefault="00CE539F" w:rsidP="00CE539F">
      <w:pPr>
        <w:tabs>
          <w:tab w:val="left" w:pos="1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уроків, вчителі використовують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очний контроль 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різних видів завдань, передбачених навчальною програмою, у тому числі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самостійної 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роботи. Поточний контроль здійснюється під час проведення практичних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 результатами 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ревірки контрольних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робіт, індивідуальних завдань тощо.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з  видів 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 здобувачів освіти є вхідний контроль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проведено у вересні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предметно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поточне та підсумкове (тематичне, семестрове, річне). </w:t>
      </w:r>
    </w:p>
    <w:p w:rsidR="00CE539F" w:rsidRPr="00494AA4" w:rsidRDefault="00CE539F" w:rsidP="00CE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2023/2024 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році в зв’язку з воєнними подіями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здобувачі освіти 9 та 11 класів були звільнені від проходження ДПА.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Станом на 31.05.2024 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закінчили навчання 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8-11 класів.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підсумками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налізу навчальних досягнень за 2023/2024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ік:</w:t>
      </w:r>
    </w:p>
    <w:p w:rsidR="00CE539F" w:rsidRDefault="00CE539F" w:rsidP="00CE53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атестованих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немає;</w:t>
      </w:r>
    </w:p>
    <w:p w:rsidR="00CE539F" w:rsidRDefault="00CE539F" w:rsidP="00CE53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переведено на наступний рік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172 ліцеїста</w:t>
      </w:r>
      <w:r w:rsidRPr="00606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E539F" w:rsidRDefault="00CE539F" w:rsidP="00CE53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відраховано зі складу - 56 учнів 11-х класів.</w:t>
      </w:r>
    </w:p>
    <w:p w:rsidR="00CE539F" w:rsidRPr="00D760E1" w:rsidRDefault="00CE539F" w:rsidP="00CE53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60E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CE539F" w:rsidRDefault="00CE539F" w:rsidP="00CE53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планом роботи на 2023/2024 навчальний рік заступником начальника ліцею з навчальної роботи Кучер Н.Г. проаналізовано результати  навчальних досягнень учнів за підсумками навчального року.</w:t>
      </w:r>
    </w:p>
    <w:p w:rsidR="00CE539F" w:rsidRDefault="00CE539F" w:rsidP="00CE539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</w:t>
      </w:r>
      <w:r w:rsidRPr="00494AA4">
        <w:rPr>
          <w:rFonts w:ascii="Times New Roman" w:eastAsia="Times New Roman" w:hAnsi="Times New Roman" w:cs="Times New Roman"/>
          <w:sz w:val="28"/>
          <w:szCs w:val="28"/>
          <w:lang w:val="uk-UA"/>
        </w:rPr>
        <w:t>езультати річного оцінювання знань здобувачів освіти освітнього закладу наведено в таблиці:</w:t>
      </w:r>
    </w:p>
    <w:p w:rsidR="00CE539F" w:rsidRPr="00494AA4" w:rsidRDefault="00CE539F" w:rsidP="00CE539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67"/>
        <w:gridCol w:w="768"/>
        <w:gridCol w:w="768"/>
        <w:gridCol w:w="768"/>
        <w:gridCol w:w="767"/>
        <w:gridCol w:w="768"/>
        <w:gridCol w:w="768"/>
        <w:gridCol w:w="768"/>
        <w:gridCol w:w="946"/>
      </w:tblGrid>
      <w:tr w:rsidR="00CE539F" w:rsidRPr="00AE1F19" w:rsidTr="00E447AC">
        <w:tc>
          <w:tcPr>
            <w:tcW w:w="2694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/ Класи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8-А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9-Б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10-А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10-Б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10-В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11-А 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11-Б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ліцеїстів </w:t>
            </w:r>
          </w:p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228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високому рівні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достатньому рівні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Учнів, що закінчили рік </w:t>
            </w:r>
          </w:p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середньому рівні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Учнів, що закінчили рік</w:t>
            </w:r>
          </w:p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початковому  рівні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Успішність (%)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71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97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68</w:t>
            </w:r>
          </w:p>
        </w:tc>
        <w:tc>
          <w:tcPr>
            <w:tcW w:w="767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79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63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768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97</w:t>
            </w:r>
          </w:p>
        </w:tc>
        <w:tc>
          <w:tcPr>
            <w:tcW w:w="946" w:type="dxa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85</w:t>
            </w:r>
          </w:p>
        </w:tc>
      </w:tr>
      <w:tr w:rsidR="00CE539F" w:rsidRPr="00AE1F19" w:rsidTr="00E447AC">
        <w:tc>
          <w:tcPr>
            <w:tcW w:w="2694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1F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Якість навчання (%)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67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68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946" w:type="dxa"/>
            <w:vAlign w:val="center"/>
          </w:tcPr>
          <w:p w:rsidR="00CE539F" w:rsidRPr="00AE1F19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</w:t>
            </w:r>
          </w:p>
        </w:tc>
      </w:tr>
    </w:tbl>
    <w:p w:rsidR="00CE539F" w:rsidRPr="00346AD2" w:rsidRDefault="00CE539F" w:rsidP="00CE539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Важливим аспектом роботи ліцею як закладу освіти є якість знань учнів. 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результатами річного оцінювання найвищі результати показали  учні 10-А та 11-А класів.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Низький рівень 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авчання виявили учні 8-А та 10-В </w:t>
      </w: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класів. Але, проаналізувавши стан успішності учнів окремо по класах, дійшли висновку, що в кожному класі є резерв учнів, які могли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 досягти свого основного </w:t>
      </w: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рівня, бо мають 1 оцінку нижчого рівня.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учнями, які мають бали початкового рівня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були проведені індивідуальні бесіди</w:t>
      </w: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додаткові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консультації</w:t>
      </w: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Аналізуючи </w:t>
      </w:r>
      <w:r w:rsidRPr="00346AD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ричини слабкої успішності учнів, з’ясували, що такі результати пояснюю</w:t>
      </w:r>
      <w:r w:rsidRPr="005726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ться переходами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дистанційної форми навчання, </w:t>
      </w:r>
      <w:r w:rsidRPr="005726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недостатній зв’язок учителів із батьками.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726F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Таким чином, можна зробити висновок, що більшість учнів 8-11 класів засвоїли програмовий матеріал з предметів інваріантної складової навчальних планів на достатньому та середньому рівнях.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83C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 метою визначення динаміки змін зроблено порівняльний аналіз якості знань  ліцеїстів за підсумкам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и оцінювання </w:t>
      </w:r>
      <w:r w:rsidRPr="00B83C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протягом п’яти років. Результати 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одано в таблиці та на діаграмі 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836"/>
        <w:gridCol w:w="1836"/>
        <w:gridCol w:w="1836"/>
        <w:gridCol w:w="1836"/>
      </w:tblGrid>
      <w:tr w:rsidR="00CE539F" w:rsidTr="00E447AC">
        <w:tc>
          <w:tcPr>
            <w:tcW w:w="1835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3C1F">
              <w:rPr>
                <w:rFonts w:ascii="Times New Roman" w:hAnsi="Times New Roman" w:cs="Times New Roman"/>
                <w:b/>
                <w:bCs/>
                <w:lang w:val="en-US"/>
              </w:rPr>
              <w:t>2019</w:t>
            </w:r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/2020 </w:t>
            </w:r>
            <w:proofErr w:type="spellStart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н.р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2020/2021 </w:t>
            </w:r>
            <w:proofErr w:type="spellStart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2021/2022 </w:t>
            </w:r>
            <w:proofErr w:type="spellStart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2022/2023 </w:t>
            </w:r>
            <w:proofErr w:type="spellStart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2023/2024 </w:t>
            </w:r>
            <w:proofErr w:type="spellStart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н.р</w:t>
            </w:r>
            <w:proofErr w:type="spellEnd"/>
            <w:r w:rsidRPr="00B83C1F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</w:tr>
      <w:tr w:rsidR="00CE539F" w:rsidTr="00E447AC">
        <w:tc>
          <w:tcPr>
            <w:tcW w:w="1835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C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44%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C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17%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3C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21%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23 </w:t>
            </w:r>
            <w:r w:rsidRPr="00B83C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836" w:type="dxa"/>
            <w:shd w:val="clear" w:color="auto" w:fill="auto"/>
          </w:tcPr>
          <w:p w:rsidR="00CE539F" w:rsidRPr="00B83C1F" w:rsidRDefault="00CE539F" w:rsidP="00E447AC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26 </w:t>
            </w:r>
            <w:r w:rsidRPr="00B83C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%</w:t>
            </w:r>
          </w:p>
        </w:tc>
      </w:tr>
    </w:tbl>
    <w:p w:rsidR="00CE539F" w:rsidRDefault="00CE539F" w:rsidP="00CE539F">
      <w:pPr>
        <w:spacing w:before="120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B83C1F">
        <w:rPr>
          <w:rFonts w:ascii="Times New Roman" w:hAnsi="Times New Roman" w:cs="Times New Roman"/>
          <w:i/>
          <w:lang w:val="uk-UA"/>
        </w:rPr>
        <w:t>Діаграма 2. Якість знань ліцеїстів за  підсумками  оцінювання протягом п’яти років</w:t>
      </w:r>
    </w:p>
    <w:p w:rsidR="00CE539F" w:rsidRDefault="00CE539F" w:rsidP="00CE539F">
      <w:pPr>
        <w:spacing w:before="120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D3860B1" wp14:editId="16E21655">
            <wp:extent cx="4380614" cy="1594883"/>
            <wp:effectExtent l="0" t="0" r="127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539F" w:rsidRPr="00BE06B9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E06B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Проаналізувавши стан якості знань ліцеїстів за п’ять років,  адміністрація  дійшла висновку, що зниження показників пояснюється переходами до дистанційної форми навчання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39F" w:rsidRPr="003721BA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21B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обдарованими та здібними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721BA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здобувачами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3721B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</w:t>
      </w:r>
    </w:p>
    <w:p w:rsidR="00CE539F" w:rsidRPr="006B3466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Одним із основних принципів роботи ліцею є розкриття у процесі навчання </w:t>
      </w:r>
      <w:proofErr w:type="spellStart"/>
      <w:r w:rsidRPr="006B3466">
        <w:rPr>
          <w:rFonts w:ascii="Times New Roman" w:hAnsi="Times New Roman" w:cs="Times New Roman"/>
          <w:sz w:val="28"/>
          <w:szCs w:val="28"/>
          <w:lang w:val="uk-UA"/>
        </w:rPr>
        <w:t>обдарованостей</w:t>
      </w:r>
      <w:proofErr w:type="spellEnd"/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 ліцеїстів. </w:t>
      </w:r>
    </w:p>
    <w:p w:rsidR="00CE539F" w:rsidRDefault="00CE539F" w:rsidP="00CE539F">
      <w:pPr>
        <w:pStyle w:val="a3"/>
        <w:tabs>
          <w:tab w:val="left" w:pos="4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розвитку розумових та спортивних здібностей ліцеїстів до річного навчального плану включені предмети на додаткове вивчення профільних та базових предметів: української мови, англійської мови, математики,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«Захист </w:t>
      </w:r>
      <w:r w:rsidRPr="00F97EDF">
        <w:rPr>
          <w:rFonts w:ascii="Times New Roman" w:hAnsi="Times New Roman" w:cs="Times New Roman"/>
          <w:sz w:val="28"/>
          <w:szCs w:val="28"/>
          <w:lang w:val="uk-UA"/>
        </w:rPr>
        <w:t>України»; факультативів: «Синтаксис простого та ускладненого речення», «Орфографічний практикум», «Практикум із синтаксису української мови», «Готуємося до ЗНО», «Іноземна мова у професійному самовизначенні» «Вогнева підготовка»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539F" w:rsidRDefault="00CE539F" w:rsidP="00CE539F">
      <w:pPr>
        <w:pStyle w:val="a3"/>
        <w:tabs>
          <w:tab w:val="left" w:pos="4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466">
        <w:rPr>
          <w:rFonts w:ascii="Times New Roman" w:hAnsi="Times New Roman" w:cs="Times New Roman"/>
          <w:sz w:val="28"/>
          <w:szCs w:val="28"/>
          <w:lang w:val="uk-UA"/>
        </w:rPr>
        <w:t>Робота із розумово обдарованими ліцеїстами – це цілеспрямована підготовка до участі в учнівських олімпіадах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навчальних предметів</w:t>
      </w: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конкурсах</w:t>
      </w: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466">
        <w:rPr>
          <w:rFonts w:ascii="Times New Roman" w:hAnsi="Times New Roman" w:cs="Times New Roman"/>
          <w:sz w:val="28"/>
          <w:szCs w:val="28"/>
          <w:lang w:val="uk-UA"/>
        </w:rPr>
        <w:t>Для підготовки ліцеїстів до участі у ІІ та ІІІ етапі олімпіад було розроблено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>и індивідуальних занять для</w:t>
      </w: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 здобувач</w:t>
      </w:r>
      <w:r>
        <w:rPr>
          <w:rFonts w:ascii="Times New Roman" w:hAnsi="Times New Roman" w:cs="Times New Roman"/>
          <w:sz w:val="28"/>
          <w:szCs w:val="28"/>
          <w:lang w:val="uk-UA"/>
        </w:rPr>
        <w:t>ів освіти, що готувалися</w:t>
      </w:r>
      <w:r w:rsidRPr="006B3466">
        <w:rPr>
          <w:rFonts w:ascii="Times New Roman" w:hAnsi="Times New Roman" w:cs="Times New Roman"/>
          <w:sz w:val="28"/>
          <w:szCs w:val="28"/>
          <w:lang w:val="uk-UA"/>
        </w:rPr>
        <w:t xml:space="preserve"> до відповідних змагань. Учителями створені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</w:t>
      </w:r>
      <w:r w:rsidRPr="006B3466">
        <w:rPr>
          <w:rFonts w:ascii="Times New Roman" w:hAnsi="Times New Roman" w:cs="Times New Roman"/>
          <w:sz w:val="28"/>
          <w:szCs w:val="28"/>
          <w:lang w:val="uk-UA"/>
        </w:rPr>
        <w:t>з кожного навчального предмета.</w:t>
      </w:r>
    </w:p>
    <w:p w:rsidR="00CE539F" w:rsidRPr="007D4662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закладі с</w:t>
      </w:r>
      <w:r w:rsidRPr="007D4662">
        <w:rPr>
          <w:rFonts w:ascii="Times New Roman" w:hAnsi="Times New Roman" w:cs="Times New Roman"/>
          <w:sz w:val="28"/>
          <w:szCs w:val="28"/>
          <w:lang w:val="uk-UA"/>
        </w:rPr>
        <w:t>творено 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 даних </w:t>
      </w:r>
      <w:r w:rsidRPr="007D4662">
        <w:rPr>
          <w:rFonts w:ascii="Times New Roman" w:hAnsi="Times New Roman" w:cs="Times New Roman"/>
          <w:sz w:val="28"/>
          <w:szCs w:val="28"/>
          <w:lang w:val="uk-UA"/>
        </w:rPr>
        <w:t xml:space="preserve">таких учнів та умови для розвитку їхньої творчої обдарованості. Питання організації роботи з обдарованими учнями обговорювалося на засіданнях педагогічної ради. </w:t>
      </w:r>
    </w:p>
    <w:p w:rsidR="00CE539F" w:rsidRPr="005022B4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62">
        <w:rPr>
          <w:rFonts w:ascii="Times New Roman" w:hAnsi="Times New Roman" w:cs="Times New Roman"/>
          <w:sz w:val="28"/>
          <w:szCs w:val="28"/>
          <w:lang w:val="uk-UA"/>
        </w:rPr>
        <w:t>У листопаді – грудні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4662">
        <w:rPr>
          <w:rFonts w:ascii="Times New Roman" w:hAnsi="Times New Roman" w:cs="Times New Roman"/>
          <w:sz w:val="28"/>
          <w:szCs w:val="28"/>
          <w:lang w:val="uk-UA"/>
        </w:rPr>
        <w:t xml:space="preserve"> року серед учнів 8 – 11 класів закладів загальної середньої освіти обласного та державного підпорядкування було проведено </w:t>
      </w:r>
      <w:r w:rsidRPr="005022B4">
        <w:rPr>
          <w:rFonts w:ascii="Times New Roman" w:hAnsi="Times New Roman" w:cs="Times New Roman"/>
          <w:sz w:val="28"/>
          <w:szCs w:val="28"/>
          <w:lang w:val="uk-UA"/>
        </w:rPr>
        <w:t>ІІ етап Всеукраїнських учнівських олімпіад з базових дисциплін.</w:t>
      </w:r>
    </w:p>
    <w:p w:rsidR="00CE539F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2B4">
        <w:rPr>
          <w:rFonts w:ascii="Times New Roman" w:hAnsi="Times New Roman" w:cs="Times New Roman"/>
          <w:sz w:val="28"/>
          <w:szCs w:val="28"/>
          <w:lang w:val="uk-UA"/>
        </w:rPr>
        <w:t>У ІІ етапі олімпіад із навчальних предметів взяв участь 31 ліцеїст, 21 ліцеїст посів призові місця, що складає 68 % від загальної кількості учасників ІІ етапу.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2"/>
        <w:gridCol w:w="1614"/>
        <w:gridCol w:w="2202"/>
        <w:gridCol w:w="3357"/>
      </w:tblGrid>
      <w:tr w:rsidR="00CE539F" w:rsidRPr="005022B4" w:rsidTr="00E447AC">
        <w:trPr>
          <w:trHeight w:val="70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630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5022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чнів-учасників</w:t>
            </w:r>
          </w:p>
        </w:tc>
        <w:tc>
          <w:tcPr>
            <w:tcW w:w="2268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5022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чнів-переможців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Вчитель, який підготував учнів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4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Зуєва І.В., категорія перша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Краснобрижа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О.А., категорія вища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Н.Г., категорія вища,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2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2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Гандзя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</w:t>
            </w: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2 уч.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2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3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Н.В.</w:t>
            </w:r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-методист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Кузніченко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Історія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3 уч.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3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3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Завізіон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О.Г., категорія вища,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1 уч.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2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2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Завізіон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О.Г., категорія вища,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4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Уланова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категорія вища,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2 уч.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2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2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Л.Г.</w:t>
            </w: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2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Л.Г.</w:t>
            </w: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2 уч.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1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1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Кузніченко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Уланова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</w:t>
            </w:r>
            <w:r w:rsidRPr="005022B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93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630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1 уч. </w:t>
            </w:r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1 уч.</w:t>
            </w:r>
          </w:p>
        </w:tc>
        <w:tc>
          <w:tcPr>
            <w:tcW w:w="3536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Кузніченко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</w:p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Уланова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</w:t>
            </w:r>
            <w:r w:rsidRPr="005022B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, старший учитель</w:t>
            </w:r>
          </w:p>
        </w:tc>
      </w:tr>
    </w:tbl>
    <w:p w:rsidR="00CE539F" w:rsidRPr="005022B4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39F" w:rsidRPr="007D4662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січні-лютому 2024 року </w:t>
      </w:r>
      <w:r w:rsidRPr="007D4662">
        <w:rPr>
          <w:rFonts w:ascii="Times New Roman" w:hAnsi="Times New Roman" w:cs="Times New Roman"/>
          <w:sz w:val="28"/>
          <w:szCs w:val="28"/>
          <w:lang w:val="uk-UA"/>
        </w:rPr>
        <w:t>ліцеїсти – переможці ІІ етапу взяли участь у ІІІ етапі учнівських олімпіад з навчальних предметів.</w:t>
      </w:r>
    </w:p>
    <w:p w:rsidR="00CE539F" w:rsidRPr="007D4662" w:rsidRDefault="00CE539F" w:rsidP="00CE5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62">
        <w:rPr>
          <w:rFonts w:ascii="Times New Roman" w:hAnsi="Times New Roman" w:cs="Times New Roman"/>
          <w:sz w:val="28"/>
          <w:szCs w:val="28"/>
          <w:lang w:val="uk-UA"/>
        </w:rPr>
        <w:t>Результати участі ліцеїстів у ІІІ (обласному) етапі учнівських олімпіад із навчальних предметів у 2022/2023 навчальному році такі: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2"/>
        <w:gridCol w:w="1960"/>
        <w:gridCol w:w="2115"/>
        <w:gridCol w:w="3118"/>
      </w:tblGrid>
      <w:tr w:rsidR="00CE539F" w:rsidTr="00E447AC">
        <w:trPr>
          <w:trHeight w:val="70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022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учнів-учасників</w:t>
            </w:r>
          </w:p>
        </w:tc>
        <w:tc>
          <w:tcPr>
            <w:tcW w:w="2169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учнів-переможців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Вчитель, який підготував учнів</w:t>
            </w:r>
          </w:p>
        </w:tc>
      </w:tr>
      <w:tr w:rsidR="00CE539F" w:rsidTr="00E447AC">
        <w:trPr>
          <w:trHeight w:val="644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022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1 уч. 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Гандзя</w:t>
            </w:r>
            <w:proofErr w:type="spellEnd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</w:t>
            </w: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Tr="00E447AC">
        <w:trPr>
          <w:trHeight w:val="644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022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9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 – 1 уч. </w:t>
            </w:r>
          </w:p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2 уч.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Завізіон</w:t>
            </w:r>
            <w:proofErr w:type="spellEnd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О.Г., категорія вища, старший учитель</w:t>
            </w:r>
          </w:p>
        </w:tc>
      </w:tr>
      <w:tr w:rsidR="00CE539F" w:rsidTr="00E447AC">
        <w:trPr>
          <w:trHeight w:val="644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022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9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місце – 1уч.</w:t>
            </w:r>
          </w:p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місце – 4 уч.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Л.Г.</w:t>
            </w: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Tr="00E447AC">
        <w:trPr>
          <w:trHeight w:val="644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022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місце – 1 уч.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Л.Г.</w:t>
            </w: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категорія вища, вчитель-методист</w:t>
            </w:r>
          </w:p>
        </w:tc>
      </w:tr>
      <w:tr w:rsidR="00CE539F" w:rsidRPr="005022B4" w:rsidTr="00E447AC">
        <w:trPr>
          <w:trHeight w:val="644"/>
        </w:trPr>
        <w:tc>
          <w:tcPr>
            <w:tcW w:w="2171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Інформатика</w:t>
            </w:r>
          </w:p>
        </w:tc>
        <w:tc>
          <w:tcPr>
            <w:tcW w:w="2022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69" w:type="dxa"/>
            <w:vAlign w:val="center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Кузніченко</w:t>
            </w:r>
            <w:proofErr w:type="spellEnd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</w:t>
            </w: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</w:p>
          <w:p w:rsidR="00CE539F" w:rsidRPr="00745A4E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Уланова</w:t>
            </w:r>
            <w:proofErr w:type="spellEnd"/>
            <w:r w:rsidRPr="00745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</w:t>
            </w:r>
            <w:r w:rsidRPr="00745A4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45A4E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  <w:r w:rsidRPr="00745A4E">
              <w:rPr>
                <w:rFonts w:ascii="Times New Roman" w:hAnsi="Times New Roman" w:cs="Times New Roman"/>
                <w:sz w:val="28"/>
                <w:szCs w:val="28"/>
              </w:rPr>
              <w:t>, старший учитель</w:t>
            </w:r>
          </w:p>
        </w:tc>
      </w:tr>
      <w:tr w:rsidR="00CE539F" w:rsidRPr="005022B4" w:rsidTr="00E447AC">
        <w:trPr>
          <w:trHeight w:val="644"/>
        </w:trPr>
        <w:tc>
          <w:tcPr>
            <w:tcW w:w="2171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022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69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Кузніченко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</w:t>
            </w: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</w:rPr>
              <w:t>категоріявища</w:t>
            </w:r>
            <w:proofErr w:type="spellEnd"/>
          </w:p>
        </w:tc>
      </w:tr>
      <w:tr w:rsidR="00CE539F" w:rsidRPr="005022B4" w:rsidTr="00E447AC">
        <w:trPr>
          <w:trHeight w:val="644"/>
        </w:trPr>
        <w:tc>
          <w:tcPr>
            <w:tcW w:w="2171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2022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69" w:type="dxa"/>
            <w:vAlign w:val="center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265" w:type="dxa"/>
          </w:tcPr>
          <w:p w:rsidR="00CE539F" w:rsidRPr="005022B4" w:rsidRDefault="00CE539F" w:rsidP="00E447AC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Завізіон</w:t>
            </w:r>
            <w:proofErr w:type="spellEnd"/>
            <w:r w:rsidRPr="00502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О.Г., категорія вища, старший учитель</w:t>
            </w:r>
          </w:p>
        </w:tc>
      </w:tr>
    </w:tbl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83C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визначення динаміки змін зроблено порівняльний аналіз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участі ліцеїстів у ІІІ етапі </w:t>
      </w:r>
      <w:r w:rsidRPr="00B42A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учнівських олімпіад із навчальних предметі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в. </w:t>
      </w:r>
      <w:r w:rsidRPr="00B83C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Результати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переможців </w:t>
      </w:r>
      <w:r w:rsidRPr="00B83C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одано в таблиці та на діаграмі 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99"/>
        <w:gridCol w:w="1900"/>
        <w:gridCol w:w="1899"/>
        <w:gridCol w:w="2302"/>
      </w:tblGrid>
      <w:tr w:rsidR="00CE539F" w:rsidRPr="006F2A7C" w:rsidTr="00E447AC">
        <w:tc>
          <w:tcPr>
            <w:tcW w:w="1668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предметів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учасників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К-ть переможців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Результат</w:t>
            </w:r>
          </w:p>
        </w:tc>
      </w:tr>
      <w:tr w:rsidR="00CE539F" w:rsidRPr="006F2A7C" w:rsidTr="00E447AC">
        <w:tc>
          <w:tcPr>
            <w:tcW w:w="1668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/2020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302" w:type="dxa"/>
            <w:shd w:val="clear" w:color="auto" w:fill="auto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 м. -  1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уч.</w:t>
            </w:r>
          </w:p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ІІ м.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уч.</w:t>
            </w:r>
          </w:p>
        </w:tc>
      </w:tr>
      <w:tr w:rsidR="00CE539F" w:rsidRPr="0011128C" w:rsidTr="00E447AC">
        <w:tc>
          <w:tcPr>
            <w:tcW w:w="1668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22/2023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 м. -  3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уч.</w:t>
            </w:r>
          </w:p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 м. - 5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уч.</w:t>
            </w:r>
          </w:p>
        </w:tc>
      </w:tr>
      <w:tr w:rsidR="00CE539F" w:rsidRPr="0011128C" w:rsidTr="00E447AC">
        <w:tc>
          <w:tcPr>
            <w:tcW w:w="1668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23/2024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302" w:type="dxa"/>
            <w:shd w:val="clear" w:color="auto" w:fill="auto"/>
          </w:tcPr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 м. 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уч.</w:t>
            </w:r>
          </w:p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ІІ м.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уч.</w:t>
            </w:r>
          </w:p>
          <w:p w:rsidR="00CE539F" w:rsidRPr="006F2A7C" w:rsidRDefault="00CE539F" w:rsidP="00E447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ІІІ м. 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 </w:t>
            </w:r>
            <w:r w:rsidRPr="006F2A7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уч.</w:t>
            </w:r>
          </w:p>
        </w:tc>
      </w:tr>
    </w:tbl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A7F7EE9" wp14:editId="0834AE27">
            <wp:extent cx="3914775" cy="13525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Таким чином, показники участі 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перемогиліцеїстів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ІІІ етапу Всеукраїнських учнівських</w:t>
      </w:r>
      <w:r w:rsidRPr="004E7CB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олімпіад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навчальних предметів</w:t>
      </w:r>
      <w:r w:rsidRPr="004E7CB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цього року вищий за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попередні</w:t>
      </w:r>
      <w:r w:rsidRPr="004E7CB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Це позитивний чинник.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36E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Результати цьогорічної участі ліцеїстів у предметних олімпіадах вказують на те, що учасники олімпіад підготовлені 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високому</w:t>
      </w:r>
      <w:r w:rsidRPr="00B36E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рівні.</w:t>
      </w:r>
    </w:p>
    <w:p w:rsidR="00CE539F" w:rsidRDefault="00CE539F" w:rsidP="00CE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F6231" w:rsidRDefault="009F6231"/>
    <w:sectPr w:rsidR="009F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D00EE"/>
    <w:multiLevelType w:val="hybridMultilevel"/>
    <w:tmpl w:val="9AECC36A"/>
    <w:lvl w:ilvl="0" w:tplc="0EB8005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F"/>
    <w:rsid w:val="00112B5F"/>
    <w:rsid w:val="009F6231"/>
    <w:rsid w:val="00C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13A4"/>
  <w15:chartTrackingRefBased/>
  <w15:docId w15:val="{ABE93E62-B722-401B-BC2E-2939560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9F"/>
    <w:pPr>
      <w:ind w:left="720"/>
      <w:contextualSpacing/>
    </w:pPr>
  </w:style>
  <w:style w:type="table" w:styleId="a4">
    <w:name w:val="Table Grid"/>
    <w:basedOn w:val="a1"/>
    <w:uiPriority w:val="59"/>
    <w:rsid w:val="00CE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  <c:pt idx="3">
                  <c:v>2022/2023</c:v>
                </c:pt>
                <c:pt idx="4">
                  <c:v>2023/2023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17</c:v>
                </c:pt>
                <c:pt idx="2">
                  <c:v>21</c:v>
                </c:pt>
                <c:pt idx="3">
                  <c:v>23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A-4FFD-998B-FEC04F59F6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0173312"/>
        <c:axId val="100174848"/>
      </c:barChart>
      <c:catAx>
        <c:axId val="10017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74848"/>
        <c:crosses val="autoZero"/>
        <c:auto val="1"/>
        <c:lblAlgn val="ctr"/>
        <c:lblOffset val="100"/>
        <c:noMultiLvlLbl val="0"/>
      </c:catAx>
      <c:valAx>
        <c:axId val="100174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17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accent3"/>
        </a:solidFill>
        <a:ln>
          <a:solidFill>
            <a:schemeClr val="accent6">
              <a:lumMod val="20000"/>
              <a:lumOff val="80000"/>
            </a:schemeClr>
          </a:solidFill>
        </a:ln>
        <a:effectLst/>
        <a:sp3d>
          <a:contourClr>
            <a:schemeClr val="accent6">
              <a:lumMod val="20000"/>
              <a:lumOff val="8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37315482320631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D5-487B-B7BD-F75B486E1EE4}"/>
                </c:ext>
              </c:extLst>
            </c:dLbl>
            <c:dLbl>
              <c:idx val="1"/>
              <c:layout>
                <c:manualLayout>
                  <c:x val="0"/>
                  <c:y val="0.32955715756951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D5-487B-B7BD-F75B486E1EE4}"/>
                </c:ext>
              </c:extLst>
            </c:dLbl>
            <c:dLbl>
              <c:idx val="2"/>
              <c:layout>
                <c:manualLayout>
                  <c:x val="0"/>
                  <c:y val="0.281496738757294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2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AD5-487B-B7BD-F75B486E1E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2019/2020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D5-487B-B7BD-F75B486E1E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280640"/>
        <c:axId val="103282176"/>
        <c:axId val="0"/>
      </c:bar3DChart>
      <c:catAx>
        <c:axId val="10328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82176"/>
        <c:crosses val="autoZero"/>
        <c:auto val="1"/>
        <c:lblAlgn val="ctr"/>
        <c:lblOffset val="100"/>
        <c:noMultiLvlLbl val="0"/>
      </c:catAx>
      <c:valAx>
        <c:axId val="10328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8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2024-12-07T19:43:00Z</dcterms:created>
  <dcterms:modified xsi:type="dcterms:W3CDTF">2024-12-07T19:50:00Z</dcterms:modified>
</cp:coreProperties>
</file>