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E" w:rsidRDefault="00F330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7861CE" w:rsidRDefault="00F33037">
      <w:pPr>
        <w:jc w:val="center"/>
        <w:rPr>
          <w:lang w:val="uk-UA"/>
        </w:rPr>
      </w:pPr>
      <w:r>
        <w:rPr>
          <w:lang w:val="uk-UA"/>
        </w:rPr>
        <w:t xml:space="preserve">вул. Дванадцятого Квітня, 12, м. Харків, тел./факс (057) 725-84-54, </w:t>
      </w:r>
    </w:p>
    <w:p w:rsidR="007861CE" w:rsidRDefault="00F33037">
      <w:pPr>
        <w:jc w:val="center"/>
        <w:rPr>
          <w:lang w:val="uk-UA"/>
        </w:rPr>
      </w:pP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hyperlink r:id="rId6" w:history="1"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@</w:t>
        </w:r>
        <w:r>
          <w:rPr>
            <w:rStyle w:val="a5"/>
            <w:lang w:val="en-US"/>
          </w:rPr>
          <w:t>ryatuvalnik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ua</w:t>
        </w:r>
      </w:hyperlink>
      <w:r>
        <w:rPr>
          <w:lang w:val="uk-UA"/>
        </w:rPr>
        <w:t xml:space="preserve">, сайт </w:t>
      </w:r>
      <w:hyperlink r:id="rId7" w:history="1">
        <w:r>
          <w:rPr>
            <w:rStyle w:val="a5"/>
            <w:lang w:val="en-US"/>
          </w:rPr>
          <w:t>https</w:t>
        </w:r>
        <w:r>
          <w:rPr>
            <w:rStyle w:val="a5"/>
            <w:lang w:val="uk-UA"/>
          </w:rPr>
          <w:t>://</w:t>
        </w:r>
        <w:proofErr w:type="spellStart"/>
        <w:r>
          <w:rPr>
            <w:rStyle w:val="a5"/>
            <w:lang w:val="en-US"/>
          </w:rPr>
          <w:t>ryatuvalnik</w:t>
        </w:r>
        <w:proofErr w:type="spellEnd"/>
        <w:r>
          <w:rPr>
            <w:rStyle w:val="a5"/>
            <w:lang w:val="uk-UA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  <w:lang w:val="uk-UA"/>
          </w:rPr>
          <w:t>.</w:t>
        </w:r>
        <w:proofErr w:type="spellStart"/>
        <w:r>
          <w:rPr>
            <w:rStyle w:val="a5"/>
            <w:lang w:val="en-US"/>
          </w:rPr>
          <w:t>ua</w:t>
        </w:r>
        <w:proofErr w:type="spellEnd"/>
        <w:r>
          <w:rPr>
            <w:rStyle w:val="a5"/>
            <w:lang w:val="uk-UA"/>
          </w:rPr>
          <w:t>/</w:t>
        </w:r>
      </w:hyperlink>
    </w:p>
    <w:p w:rsidR="007861CE" w:rsidRDefault="00F33037">
      <w:pPr>
        <w:jc w:val="center"/>
        <w:rPr>
          <w:lang w:val="uk-UA"/>
        </w:rPr>
      </w:pPr>
      <w:r>
        <w:rPr>
          <w:lang w:val="uk-UA"/>
        </w:rPr>
        <w:t>код ЄДРПОУ 24480983</w:t>
      </w:r>
    </w:p>
    <w:p w:rsidR="007861CE" w:rsidRDefault="007861CE">
      <w:pPr>
        <w:jc w:val="center"/>
        <w:rPr>
          <w:lang w:val="uk-UA"/>
        </w:rPr>
      </w:pPr>
    </w:p>
    <w:p w:rsidR="007861CE" w:rsidRPr="00F33037" w:rsidRDefault="00F33037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861CE" w:rsidRPr="00F33037" w:rsidRDefault="007861CE">
      <w:pPr>
        <w:jc w:val="center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F33037" w:rsidRPr="00F3303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1CE" w:rsidRPr="00F33037" w:rsidRDefault="00F33037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037">
              <w:rPr>
                <w:b/>
                <w:color w:val="000000" w:themeColor="text1"/>
                <w:sz w:val="28"/>
                <w:szCs w:val="28"/>
                <w:lang w:val="uk-UA"/>
              </w:rPr>
              <w:t>10.06.202</w:t>
            </w:r>
            <w:r w:rsidR="0045335E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1CE" w:rsidRPr="00F33037" w:rsidRDefault="00F33037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037">
              <w:rPr>
                <w:b/>
                <w:color w:val="000000" w:themeColor="text1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61CE" w:rsidRPr="00F33037" w:rsidRDefault="00F33037" w:rsidP="00F33037">
            <w:pPr>
              <w:jc w:val="right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33037">
              <w:rPr>
                <w:b/>
                <w:color w:val="000000" w:themeColor="text1"/>
                <w:sz w:val="28"/>
                <w:szCs w:val="28"/>
                <w:lang w:val="uk-UA"/>
              </w:rPr>
              <w:t>№80</w:t>
            </w:r>
          </w:p>
        </w:tc>
      </w:tr>
    </w:tbl>
    <w:p w:rsidR="007861CE" w:rsidRDefault="007861CE">
      <w:pPr>
        <w:spacing w:line="360" w:lineRule="auto"/>
        <w:jc w:val="both"/>
        <w:rPr>
          <w:b/>
          <w:color w:val="000000" w:themeColor="text1"/>
          <w:sz w:val="22"/>
          <w:szCs w:val="22"/>
          <w:lang w:val="uk-UA"/>
        </w:rPr>
      </w:pPr>
    </w:p>
    <w:p w:rsidR="007861CE" w:rsidRDefault="00F33037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Про підсумки комплексного </w:t>
      </w:r>
    </w:p>
    <w:p w:rsidR="007861CE" w:rsidRDefault="00F330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педагогічного моніторингу </w:t>
      </w:r>
    </w:p>
    <w:p w:rsidR="007861CE" w:rsidRDefault="00F330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якості освіти за</w:t>
      </w:r>
    </w:p>
    <w:p w:rsidR="007861CE" w:rsidRDefault="00F330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2021/2022 навчальний рік</w:t>
      </w:r>
    </w:p>
    <w:p w:rsidR="007861CE" w:rsidRDefault="007861CE">
      <w:pPr>
        <w:rPr>
          <w:sz w:val="28"/>
          <w:szCs w:val="28"/>
          <w:lang w:val="uk-UA"/>
        </w:rPr>
      </w:pP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Закону України «Про освіту» (ст.48), плану роботи Комунального закладу «Харківський ліцей з посиленою військово-фізичною підготовкою ''Рятувальник''» Харківської обласної ради (далі – ліцей) на 2021/2022 навчальний рік, з метою підвищення якості базової загальної середньої освіти, оцінювання її результативності, визначення ефективності управлінських рішень, вивчення умов, що впливають на результативність діяльності закладу заступником начальника ліцею з навчальної роботи Кучер Н.Г. проаналізовано стан роботи з даного питання. 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Вивченню підлягали такі питання:</w:t>
      </w:r>
    </w:p>
    <w:p w:rsidR="007861CE" w:rsidRDefault="00F33037" w:rsidP="001419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умови, які забезпечують ефективність педагогічного процесу (якість кадрових, інформаційних механізмів розвитку освіти тощо).</w:t>
      </w:r>
    </w:p>
    <w:p w:rsidR="007861CE" w:rsidRDefault="00F33037" w:rsidP="0014196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якість результатів освітнього процесу.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метою визначення динаміки формування в учнів освітньої діяльності здійснюється моніторингове дослідження, результати якого є основою для подальшого планування розвитку ліцею.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Підсумовуючи роботу закладу за навчальний рік можна зробити такі висновки.</w:t>
      </w:r>
    </w:p>
    <w:p w:rsidR="007861CE" w:rsidRDefault="00F33037" w:rsidP="0014196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Оцінка ресурсного забезпечення. </w:t>
      </w:r>
    </w:p>
    <w:p w:rsidR="007861CE" w:rsidRDefault="00F33037" w:rsidP="0014196D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Кадровий ресурс</w:t>
      </w:r>
    </w:p>
    <w:p w:rsidR="007861CE" w:rsidRDefault="00F33037" w:rsidP="001419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2021/2022 навчальному році ліцей забезпечений вчителями-предметниками.</w:t>
      </w:r>
    </w:p>
    <w:p w:rsidR="007861CE" w:rsidRDefault="00F33037" w:rsidP="0014196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Адміністрацією закладу раціонально розподілено педагогічне навантаження, призначено класних керівників, керівника гуртка.</w:t>
      </w:r>
    </w:p>
    <w:p w:rsidR="007861CE" w:rsidRDefault="00F33037" w:rsidP="0014196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Атестація педагогічних працівників ліцею здійснюється згідно з Положенням про атестацію педагогічних працівників та перспективного і річного планів роботи ліцею. </w:t>
      </w:r>
    </w:p>
    <w:p w:rsidR="007861CE" w:rsidRDefault="00F33037" w:rsidP="0014196D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кінець 2021/2022 навчального року в ліцеї працює 2</w:t>
      </w:r>
      <w:r w:rsidRPr="00F3303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педагогічних працівника (у тому числі – 3 адміністрація ліцею), з них: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jc w:val="right"/>
        <w:rPr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/>
        </w:rPr>
        <w:t>Діаграма 1.</w:t>
      </w:r>
      <w:r>
        <w:rPr>
          <w:sz w:val="24"/>
          <w:szCs w:val="24"/>
          <w:shd w:val="clear" w:color="auto" w:fill="FFFFFF"/>
          <w:lang w:val="uk-UA"/>
        </w:rPr>
        <w:t xml:space="preserve"> Якісний склад педагогічних працівників ліцею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24425" cy="1200150"/>
            <wp:effectExtent l="0" t="0" r="0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61CE" w:rsidRDefault="00F33037" w:rsidP="001419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Якісний склад педагогічних працівників ліцею  протягом 3-х років змінювався таким чином</w:t>
      </w:r>
    </w:p>
    <w:p w:rsidR="007861CE" w:rsidRDefault="007861CE" w:rsidP="0014196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559"/>
        <w:gridCol w:w="1418"/>
        <w:gridCol w:w="1418"/>
      </w:tblGrid>
      <w:tr w:rsidR="007861CE">
        <w:tc>
          <w:tcPr>
            <w:tcW w:w="4111" w:type="dxa"/>
            <w:hideMark/>
          </w:tcPr>
          <w:p w:rsidR="007861CE" w:rsidRDefault="007861CE" w:rsidP="0014196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2019/2020</w:t>
            </w:r>
          </w:p>
        </w:tc>
        <w:tc>
          <w:tcPr>
            <w:tcW w:w="1418" w:type="dxa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2020/2021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2021/2022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наук 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</w:t>
            </w:r>
          </w:p>
        </w:tc>
      </w:tr>
      <w:tr w:rsidR="007861CE">
        <w:tc>
          <w:tcPr>
            <w:tcW w:w="4111" w:type="dxa"/>
          </w:tcPr>
          <w:p w:rsidR="007861CE" w:rsidRDefault="00F33037" w:rsidP="0014196D">
            <w:pPr>
              <w:spacing w:line="276" w:lineRule="auto"/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 xml:space="preserve">Педагогічне звання «вчитель-методист» 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Педагогічне</w:t>
            </w:r>
            <w:proofErr w:type="spellEnd"/>
            <w:r>
              <w:rPr>
                <w:sz w:val="22"/>
                <w:szCs w:val="28"/>
              </w:rPr>
              <w:t xml:space="preserve"> звання «Старший учитель» 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Вища</w:t>
            </w:r>
            <w:proofErr w:type="spellEnd"/>
            <w:r>
              <w:rPr>
                <w:sz w:val="22"/>
                <w:szCs w:val="28"/>
              </w:rPr>
              <w:t xml:space="preserve"> категорія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10 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11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І категорія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 3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 w:val="22"/>
                <w:szCs w:val="28"/>
              </w:rPr>
              <w:t>ІІ категорія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6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4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Спеціалі</w:t>
            </w:r>
            <w:proofErr w:type="gramStart"/>
            <w:r>
              <w:rPr>
                <w:sz w:val="22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2"/>
                <w:szCs w:val="28"/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8</w:t>
            </w:r>
          </w:p>
        </w:tc>
      </w:tr>
      <w:tr w:rsidR="007861CE">
        <w:tc>
          <w:tcPr>
            <w:tcW w:w="4111" w:type="dxa"/>
            <w:hideMark/>
          </w:tcPr>
          <w:p w:rsidR="007861CE" w:rsidRDefault="00F33037" w:rsidP="0014196D">
            <w:pPr>
              <w:spacing w:line="276" w:lineRule="auto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b/>
                <w:i/>
                <w:sz w:val="22"/>
                <w:szCs w:val="28"/>
              </w:rPr>
              <w:t>Всього</w:t>
            </w:r>
            <w:proofErr w:type="spellEnd"/>
            <w:r>
              <w:rPr>
                <w:b/>
                <w:i/>
                <w:sz w:val="22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 w:val="22"/>
                <w:szCs w:val="28"/>
                <w:lang w:val="uk-UA"/>
              </w:rPr>
              <w:t>25</w:t>
            </w:r>
          </w:p>
        </w:tc>
        <w:tc>
          <w:tcPr>
            <w:tcW w:w="141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27</w:t>
            </w:r>
          </w:p>
        </w:tc>
        <w:tc>
          <w:tcPr>
            <w:tcW w:w="1418" w:type="dxa"/>
          </w:tcPr>
          <w:p w:rsidR="007861CE" w:rsidRDefault="00F33037" w:rsidP="0014196D">
            <w:pPr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26</w:t>
            </w:r>
          </w:p>
        </w:tc>
      </w:tr>
    </w:tbl>
    <w:p w:rsidR="007861CE" w:rsidRDefault="007861CE" w:rsidP="0014196D">
      <w:pPr>
        <w:pStyle w:val="1"/>
        <w:tabs>
          <w:tab w:val="left" w:pos="1134"/>
        </w:tabs>
        <w:spacing w:line="276" w:lineRule="auto"/>
        <w:ind w:left="5102"/>
        <w:rPr>
          <w:b/>
          <w:sz w:val="24"/>
          <w:szCs w:val="28"/>
          <w:shd w:val="clear" w:color="auto" w:fill="FFFFFF"/>
          <w:lang w:val="uk-UA"/>
        </w:rPr>
      </w:pPr>
    </w:p>
    <w:p w:rsidR="007861CE" w:rsidRDefault="00F33037" w:rsidP="0014196D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>
        <w:rPr>
          <w:b/>
          <w:sz w:val="24"/>
          <w:szCs w:val="28"/>
          <w:shd w:val="clear" w:color="auto" w:fill="FFFFFF"/>
          <w:lang w:val="uk-UA"/>
        </w:rPr>
        <w:t>Діаграма 2.</w:t>
      </w:r>
      <w:r>
        <w:rPr>
          <w:sz w:val="24"/>
          <w:szCs w:val="28"/>
          <w:shd w:val="clear" w:color="auto" w:fill="FFFFFF"/>
          <w:lang w:val="uk-UA"/>
        </w:rPr>
        <w:t xml:space="preserve"> Порівняльний аналіз якісного 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ind w:left="5102"/>
        <w:rPr>
          <w:sz w:val="24"/>
          <w:szCs w:val="28"/>
          <w:shd w:val="clear" w:color="auto" w:fill="FFFFFF"/>
          <w:lang w:val="uk-UA"/>
        </w:rPr>
      </w:pPr>
      <w:r>
        <w:rPr>
          <w:sz w:val="24"/>
          <w:szCs w:val="28"/>
          <w:shd w:val="clear" w:color="auto" w:fill="FFFFFF"/>
          <w:lang w:val="uk-UA"/>
        </w:rPr>
        <w:t>складу педагогічних працівників ліцею</w:t>
      </w:r>
    </w:p>
    <w:p w:rsidR="007861CE" w:rsidRDefault="00F33037" w:rsidP="0014196D">
      <w:pPr>
        <w:pStyle w:val="1"/>
        <w:tabs>
          <w:tab w:val="left" w:pos="1134"/>
        </w:tabs>
        <w:spacing w:line="276" w:lineRule="auto"/>
        <w:jc w:val="center"/>
        <w:rPr>
          <w:sz w:val="24"/>
          <w:szCs w:val="28"/>
          <w:shd w:val="clear" w:color="auto" w:fill="FFFFFF"/>
          <w:lang w:val="uk-UA"/>
        </w:rPr>
      </w:pPr>
      <w:r>
        <w:rPr>
          <w:noProof/>
          <w:sz w:val="24"/>
          <w:szCs w:val="28"/>
          <w:shd w:val="clear" w:color="auto" w:fill="FFFFFF"/>
        </w:rPr>
        <w:drawing>
          <wp:inline distT="0" distB="0" distL="0" distR="0">
            <wp:extent cx="5724525" cy="19050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розвитку творчості педагогічних працівників: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поповнення бібліотеки періодичною фаховою пресою, новинками науково-методичної літератури;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періодичне анкетування педагогів з метою спонукання їх до самоосвіти, а через цю роботу і до творчості;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узагальнення досвіду творчого педагога (створення методичних посібників; статті на сторінках педагогічної преси);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особистий план учителя, який спонукає вчителя до самоаналізу, визначення основних форм підвищення своєї кваліфікації;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функціонування методичних об'єднань, де заслуховується обґрунтування вибору проблеми, контролюється стан її реалізації;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творчих груп, що допомагає продуктивно вирішувати актуальні проблеми організації освітнього процесу;</w:t>
      </w:r>
    </w:p>
    <w:p w:rsidR="007861CE" w:rsidRDefault="00F33037" w:rsidP="0014196D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атестація вчителів – важливий етап стимулювання творчості вчителів.</w:t>
      </w:r>
    </w:p>
    <w:p w:rsidR="007861CE" w:rsidRDefault="00F33037" w:rsidP="0014196D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Ефективність освітнього процесу</w:t>
      </w:r>
    </w:p>
    <w:p w:rsidR="007861CE" w:rsidRDefault="00F33037" w:rsidP="0014196D">
      <w:pPr>
        <w:numPr>
          <w:ilvl w:val="1"/>
          <w:numId w:val="3"/>
        </w:numPr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Діагностика навчальних досягнень учнів</w:t>
      </w:r>
    </w:p>
    <w:p w:rsidR="007861CE" w:rsidRDefault="00F33037" w:rsidP="001419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Станом на </w:t>
      </w:r>
      <w:r>
        <w:rPr>
          <w:b/>
          <w:sz w:val="28"/>
          <w:szCs w:val="28"/>
          <w:lang w:val="uk-UA"/>
        </w:rPr>
        <w:t>03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закінчили навчання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226 учнів 7-11 </w:t>
      </w:r>
      <w:proofErr w:type="spellStart"/>
      <w:r>
        <w:rPr>
          <w:sz w:val="28"/>
          <w:szCs w:val="28"/>
        </w:rPr>
        <w:t>класі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 ліцеїстів протягом 2021/2022 навчального року подано в таблиці</w:t>
      </w:r>
    </w:p>
    <w:tbl>
      <w:tblPr>
        <w:tblStyle w:val="a4"/>
        <w:tblW w:w="9604" w:type="dxa"/>
        <w:tblInd w:w="-34" w:type="dxa"/>
        <w:tblLook w:val="04A0"/>
      </w:tblPr>
      <w:tblGrid>
        <w:gridCol w:w="2394"/>
        <w:gridCol w:w="794"/>
        <w:gridCol w:w="794"/>
        <w:gridCol w:w="794"/>
        <w:gridCol w:w="792"/>
        <w:gridCol w:w="792"/>
        <w:gridCol w:w="795"/>
        <w:gridCol w:w="794"/>
        <w:gridCol w:w="794"/>
        <w:gridCol w:w="861"/>
      </w:tblGrid>
      <w:tr w:rsidR="007861CE">
        <w:tc>
          <w:tcPr>
            <w:tcW w:w="2394" w:type="dxa"/>
          </w:tcPr>
          <w:p w:rsidR="007861CE" w:rsidRDefault="00F33037" w:rsidP="0014196D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11-А 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Кількість ліцеїстів на початок року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235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Прибуло за рік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Вибуло за рік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861CE">
        <w:tc>
          <w:tcPr>
            <w:tcW w:w="23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2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95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94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</w:tbl>
    <w:p w:rsidR="007861CE" w:rsidRDefault="00F33037" w:rsidP="0014196D">
      <w:pPr>
        <w:pStyle w:val="a3"/>
        <w:numPr>
          <w:ilvl w:val="1"/>
          <w:numId w:val="3"/>
        </w:numPr>
        <w:shd w:val="clear" w:color="auto" w:fill="FFFFFF"/>
        <w:spacing w:after="0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Освітня компетентність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показником роботи педагогічного колективу закладу освіти є успішність та якість навчання ліцеїстів. 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річного оцінювання рівня навчальних досягнень ліцеїстів за 2020/2021 навчальний рік подано в таблиці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2694"/>
        <w:gridCol w:w="767"/>
        <w:gridCol w:w="768"/>
        <w:gridCol w:w="768"/>
        <w:gridCol w:w="768"/>
        <w:gridCol w:w="767"/>
        <w:gridCol w:w="768"/>
        <w:gridCol w:w="768"/>
        <w:gridCol w:w="768"/>
        <w:gridCol w:w="946"/>
      </w:tblGrid>
      <w:tr w:rsidR="007861CE">
        <w:tc>
          <w:tcPr>
            <w:tcW w:w="2694" w:type="dxa"/>
          </w:tcPr>
          <w:p w:rsidR="007861CE" w:rsidRDefault="00F33037" w:rsidP="0014196D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Показники / Класи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7-А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8-А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8-Б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9-А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9-Б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10-А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10-Б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11-А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Разом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ліцеїстів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кінець року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226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високому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достатньому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Учнів, що закінчили рік 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середньому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174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Учнів, що закінчили рік</w:t>
            </w:r>
          </w:p>
          <w:p w:rsidR="007861CE" w:rsidRDefault="00F33037" w:rsidP="0014196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 початковому  рівні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Успішність (%)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7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768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  <w:tc>
          <w:tcPr>
            <w:tcW w:w="946" w:type="dxa"/>
          </w:tcPr>
          <w:p w:rsidR="007861CE" w:rsidRDefault="00F33037" w:rsidP="0014196D">
            <w:pPr>
              <w:spacing w:line="276" w:lineRule="auto"/>
              <w:rPr>
                <w:i/>
              </w:rPr>
            </w:pPr>
            <w:r>
              <w:rPr>
                <w:b/>
                <w:i/>
                <w:lang w:val="uk-UA"/>
              </w:rPr>
              <w:t>100%</w:t>
            </w:r>
          </w:p>
        </w:tc>
      </w:tr>
      <w:tr w:rsidR="007861CE">
        <w:tc>
          <w:tcPr>
            <w:tcW w:w="2694" w:type="dxa"/>
            <w:vAlign w:val="center"/>
          </w:tcPr>
          <w:p w:rsidR="007861CE" w:rsidRDefault="00F33037" w:rsidP="0014196D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навчання (%)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41 %</w:t>
            </w:r>
          </w:p>
        </w:tc>
        <w:tc>
          <w:tcPr>
            <w:tcW w:w="767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10 %</w:t>
            </w:r>
          </w:p>
        </w:tc>
        <w:tc>
          <w:tcPr>
            <w:tcW w:w="7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32 %</w:t>
            </w:r>
          </w:p>
        </w:tc>
        <w:tc>
          <w:tcPr>
            <w:tcW w:w="946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23%</w:t>
            </w:r>
          </w:p>
        </w:tc>
      </w:tr>
    </w:tbl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Найвищий рівень успішності навчання мають учні 9-А та 10-А класів. Найнижчі результати в учнів 8-Б клас.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Важливим аспектом роботи ліцею як закладу освіти є збереження якості знань учнів.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Такі результати пояснюється вимушеними переходами до дистанційної форми навчання: педагоги опановують нову методику організації освітнього процесу, учні – адаптуються до незвичних умов здобуття та оцінювання знань. </w:t>
      </w:r>
    </w:p>
    <w:p w:rsidR="007861CE" w:rsidRDefault="00F33037" w:rsidP="001419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</w:p>
    <w:p w:rsidR="007861CE" w:rsidRDefault="00F33037" w:rsidP="001419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Учителям-предметникам: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спрямувати роботу на формування </w:t>
      </w:r>
      <w:proofErr w:type="spellStart"/>
      <w:r>
        <w:rPr>
          <w:sz w:val="28"/>
          <w:szCs w:val="28"/>
          <w:lang w:val="uk-UA"/>
        </w:rPr>
        <w:t>діяльнісного</w:t>
      </w:r>
      <w:proofErr w:type="spellEnd"/>
      <w:r>
        <w:rPr>
          <w:sz w:val="28"/>
          <w:szCs w:val="28"/>
          <w:lang w:val="uk-UA"/>
        </w:rPr>
        <w:t>, знаннєвого та ціннісного компонентів ключових компетентностей здобувачів освіти з метою підвищення якості освітньої діяльності;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спланувати індивідуальну роботу зі здобувачами освіти, які мають потенціальні можливості для підвищення рівня навчання, та з учнями, що мають оцінки початкового рівня;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удосконалювати систему поточного повторення навчального матеріалу.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Класним керівникам, адміністрації ліцею проводити індивідуальні зустрічі з учнями, їх батьками, які мають низьку мотивацію до навчання. </w:t>
      </w:r>
    </w:p>
    <w:p w:rsidR="007861CE" w:rsidRDefault="00F33037" w:rsidP="0014196D">
      <w:pPr>
        <w:pStyle w:val="a3"/>
        <w:numPr>
          <w:ilvl w:val="1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Результативність роботи з обдарованими учнями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навчального року в ліцеї проводилася робота із залучення учнів до науково-дослідницької діяльності та участі у різних етапах Всеукраїнських учнівських олімпіад з базових дисциплін, турнірів, змагань конкурсів. Відповідно до плану роботи ліцею в жовтні-листопаді 2021 року було проведено І етап Всеукраїнських олімпіад, виявлено переможців та організовано підготовку учнівських команд до участі у ІІ етапі  олімпіад з базових дисциплін, конкурсах, турнірах, змаганнях. </w:t>
      </w:r>
    </w:p>
    <w:p w:rsidR="007861CE" w:rsidRDefault="00F33037" w:rsidP="0014196D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 ІІ </w:t>
      </w:r>
      <w:proofErr w:type="spellStart"/>
      <w:r>
        <w:rPr>
          <w:sz w:val="28"/>
          <w:szCs w:val="28"/>
        </w:rPr>
        <w:t>етапі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із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предметів взяли участь 65 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ів.                  Призові місця посіли 34 ліцеїста, що складає 52 % від загальної кількості учасників ІІ етапу.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Призові місця  учні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іли з таких предметів:</w:t>
      </w:r>
    </w:p>
    <w:tbl>
      <w:tblPr>
        <w:tblStyle w:val="a4"/>
        <w:tblW w:w="0" w:type="auto"/>
        <w:tblLook w:val="04A0"/>
      </w:tblPr>
      <w:tblGrid>
        <w:gridCol w:w="4361"/>
        <w:gridCol w:w="2268"/>
        <w:gridCol w:w="2941"/>
      </w:tblGrid>
      <w:tr w:rsidR="007861CE">
        <w:trPr>
          <w:trHeight w:val="70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Усього учнів-учасників</w:t>
            </w:r>
          </w:p>
        </w:tc>
        <w:tc>
          <w:tcPr>
            <w:tcW w:w="2941" w:type="dxa"/>
          </w:tcPr>
          <w:p w:rsidR="007861CE" w:rsidRDefault="00F33037" w:rsidP="0014196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учнів-переможців</w:t>
            </w:r>
          </w:p>
        </w:tc>
      </w:tr>
      <w:tr w:rsidR="007861C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861CE" w:rsidRPr="0045335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  <w:tr w:rsidR="007861CE" w:rsidRPr="0045335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3 уч.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</w:tc>
      </w:tr>
      <w:tr w:rsidR="007861C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4 уч.</w:t>
            </w:r>
          </w:p>
        </w:tc>
      </w:tr>
      <w:tr w:rsidR="007861CE" w:rsidRPr="0045335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місце – 2 уч.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</w:tc>
      </w:tr>
      <w:tr w:rsidR="007861CE" w:rsidRPr="0045335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3 уч.</w:t>
            </w:r>
          </w:p>
        </w:tc>
      </w:tr>
      <w:tr w:rsidR="007861CE" w:rsidRPr="0045335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5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3 уч.</w:t>
            </w:r>
          </w:p>
        </w:tc>
      </w:tr>
      <w:tr w:rsidR="007861C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7861CE" w:rsidRPr="0045335E">
        <w:trPr>
          <w:trHeight w:val="644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Географія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2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1 уч.</w:t>
            </w:r>
          </w:p>
        </w:tc>
      </w:tr>
      <w:tr w:rsidR="007861CE">
        <w:trPr>
          <w:trHeight w:val="1022"/>
        </w:trPr>
        <w:tc>
          <w:tcPr>
            <w:tcW w:w="436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268" w:type="dxa"/>
            <w:vAlign w:val="center"/>
          </w:tcPr>
          <w:p w:rsidR="007861CE" w:rsidRDefault="00F33037" w:rsidP="0014196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41" w:type="dxa"/>
            <w:vAlign w:val="center"/>
          </w:tcPr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 місце – 1 уч. </w:t>
            </w:r>
          </w:p>
          <w:p w:rsidR="007861CE" w:rsidRDefault="00F33037" w:rsidP="0014196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 місце – 2 уч.</w:t>
            </w:r>
          </w:p>
        </w:tc>
      </w:tr>
    </w:tbl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порівнянні з минулим навчальним роком підвищився показник переможців (брали участь 15 учнів).</w:t>
      </w:r>
    </w:p>
    <w:p w:rsidR="007861CE" w:rsidRDefault="00F33037" w:rsidP="0014196D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щодо роботи</w:t>
      </w:r>
      <w:r>
        <w:rPr>
          <w:i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О</w:t>
      </w:r>
      <w:r>
        <w:rPr>
          <w:sz w:val="28"/>
          <w:szCs w:val="28"/>
          <w:lang w:val="uk-UA"/>
        </w:rPr>
        <w:t xml:space="preserve">рганізувати протягом навчального року індивідуальну роботу з обдарованими  та здібними учнями на консультаціях, уроках, факультативних заняттях, курсах за вибором, забезпечувати якісну підготовку ліцеїстів до всіх  етапів всеукраїнських учнівських олімпіад, конкурсів, змагань. </w:t>
      </w:r>
    </w:p>
    <w:p w:rsidR="007861CE" w:rsidRDefault="00F33037" w:rsidP="0014196D">
      <w:pPr>
        <w:widowControl w:val="0"/>
        <w:autoSpaceDE w:val="0"/>
        <w:autoSpaceDN w:val="0"/>
        <w:adjustRightInd w:val="0"/>
        <w:spacing w:line="276" w:lineRule="auto"/>
        <w:ind w:right="326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підставі вищезазначеного</w:t>
      </w:r>
    </w:p>
    <w:p w:rsidR="007861CE" w:rsidRDefault="00F33037" w:rsidP="0014196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Роботу педагогічного колективу ліцею у 2021/2022 навчальному році вважати на задовільному рівні.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Заступнику начальника ліцею з навчальної роботи Кучер Н.Г.: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2.1.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педагогів шляхом проведення науково-методичних семінарів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Проводити персональний моніторинг результативності діяльності вчителів ліцею щодо роботи з обдарованими та здібними учнями.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Щосеместрово</w:t>
      </w:r>
      <w:proofErr w:type="spellEnd"/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Ураховувати при формуванні профільних класів кадрове забезпечення, матеріально-технічну базу освітнього закладу, запити батьків та учнів із урахуванням навчальних досягнень учнів.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Практичному психологу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іцею Пугачовій В.В.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3.1. П</w:t>
      </w:r>
      <w:proofErr w:type="spellStart"/>
      <w:r>
        <w:rPr>
          <w:sz w:val="28"/>
          <w:szCs w:val="28"/>
        </w:rPr>
        <w:t>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тренінги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обдарованими</w:t>
      </w:r>
      <w:proofErr w:type="spellEnd"/>
      <w:r>
        <w:rPr>
          <w:sz w:val="28"/>
          <w:szCs w:val="28"/>
        </w:rPr>
        <w:t xml:space="preserve">, слабо </w:t>
      </w:r>
      <w:proofErr w:type="spellStart"/>
      <w:r>
        <w:rPr>
          <w:sz w:val="28"/>
          <w:szCs w:val="28"/>
        </w:rPr>
        <w:t>встигаючими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Проводити консультації для вчителів-предметників, класних керівників щодо вікових психологічних особливостей учнів, рівня адаптації ліцеїстів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4. </w:t>
      </w:r>
      <w:r>
        <w:rPr>
          <w:sz w:val="28"/>
          <w:szCs w:val="28"/>
          <w:lang w:val="uk-UA"/>
        </w:rPr>
        <w:t>Атестаційній комісії враховувати під час атестації вчителів рівень навчальних досягнень їх учнів.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2022/2023 навчального року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Керівнику методичного об’єднання вчителів </w:t>
      </w:r>
      <w:proofErr w:type="spellStart"/>
      <w:r>
        <w:rPr>
          <w:rFonts w:ascii="Times New Roman" w:hAnsi="Times New Roman"/>
          <w:sz w:val="28"/>
          <w:szCs w:val="28"/>
        </w:rPr>
        <w:t>Гандзі</w:t>
      </w:r>
      <w:proofErr w:type="spellEnd"/>
      <w:r>
        <w:rPr>
          <w:rFonts w:ascii="Times New Roman" w:hAnsi="Times New Roman"/>
          <w:sz w:val="28"/>
          <w:szCs w:val="28"/>
        </w:rPr>
        <w:t xml:space="preserve"> І.В.: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Розглянути результати навчальних досягнень учнів та розробити заходи по усуненню недоліків.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Серпень 2022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Спланувати заходи по роботі з обдарованими учнями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15.09. 2022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Учителям ліцею: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Забезпечити виконання вимог Державного стандарту базової та повної загальної середньої освіти. 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Аналізувати рівень навченості учнів за роками та спланувати індивідуальну роботу з учнями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Практикувати в системі навчальної роботи відпрацювання тестів із завданнями відкритого типу, з метою підготовки учнів до ЗНО.</w:t>
      </w:r>
    </w:p>
    <w:p w:rsidR="007861CE" w:rsidRDefault="00F33037" w:rsidP="0014196D">
      <w:pPr>
        <w:tabs>
          <w:tab w:val="left" w:pos="426"/>
          <w:tab w:val="left" w:pos="851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Класним керівникам аналізувати та ознайомлювати батьків з результатами моніторингу навчальних досягнень учнів.</w:t>
      </w:r>
    </w:p>
    <w:p w:rsidR="007861CE" w:rsidRDefault="00F33037" w:rsidP="0014196D">
      <w:pPr>
        <w:pStyle w:val="a3"/>
        <w:tabs>
          <w:tab w:val="left" w:pos="426"/>
          <w:tab w:val="left" w:pos="851"/>
        </w:tabs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Педагогу-організатору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Шорко</w:t>
      </w:r>
      <w:proofErr w:type="spellEnd"/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спланувати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робіт </w:t>
      </w:r>
      <w:proofErr w:type="spellStart"/>
      <w:r>
        <w:rPr>
          <w:sz w:val="28"/>
          <w:szCs w:val="28"/>
        </w:rPr>
        <w:t>ліцеї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обдарованих</w:t>
      </w:r>
      <w:proofErr w:type="spellEnd"/>
      <w:r>
        <w:rPr>
          <w:sz w:val="28"/>
          <w:szCs w:val="28"/>
        </w:rPr>
        <w:t xml:space="preserve"> учнів. </w:t>
      </w:r>
    </w:p>
    <w:p w:rsidR="007861CE" w:rsidRDefault="00F33037" w:rsidP="0014196D">
      <w:pPr>
        <w:pStyle w:val="a3"/>
        <w:spacing w:after="0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7861CE" w:rsidRDefault="00F33037" w:rsidP="0014196D">
      <w:pPr>
        <w:tabs>
          <w:tab w:val="left" w:pos="284"/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</w:rPr>
        <w:t xml:space="preserve">Контроль за виконанням наказу покласти на заступника начальника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навчальної роботи Кучер Н.Г.</w:t>
      </w:r>
    </w:p>
    <w:p w:rsidR="007861CE" w:rsidRDefault="007861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861CE" w:rsidRDefault="007861C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861CE" w:rsidRDefault="00F330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Сергій ФОРОСТОВЕЦЬ</w:t>
      </w:r>
    </w:p>
    <w:p w:rsidR="007861CE" w:rsidRDefault="00F33037">
      <w:pPr>
        <w:spacing w:line="360" w:lineRule="auto"/>
        <w:rPr>
          <w:szCs w:val="28"/>
          <w:lang w:val="uk-UA"/>
        </w:rPr>
      </w:pPr>
      <w:r>
        <w:rPr>
          <w:sz w:val="22"/>
          <w:szCs w:val="28"/>
          <w:lang w:val="uk-UA"/>
        </w:rPr>
        <w:t>Анастасія Дановська, 725-84-54</w:t>
      </w:r>
      <w:bookmarkStart w:id="0" w:name="_GoBack"/>
      <w:bookmarkEnd w:id="0"/>
    </w:p>
    <w:p w:rsidR="007861CE" w:rsidRDefault="007861CE">
      <w:pPr>
        <w:spacing w:line="360" w:lineRule="auto"/>
        <w:rPr>
          <w:sz w:val="28"/>
          <w:szCs w:val="28"/>
          <w:lang w:val="uk-UA"/>
        </w:rPr>
      </w:pPr>
    </w:p>
    <w:p w:rsidR="007861CE" w:rsidRDefault="007861CE">
      <w:pPr>
        <w:spacing w:line="360" w:lineRule="auto"/>
        <w:rPr>
          <w:sz w:val="28"/>
          <w:szCs w:val="28"/>
          <w:lang w:val="uk-UA"/>
        </w:rPr>
      </w:pPr>
    </w:p>
    <w:p w:rsidR="007861CE" w:rsidRDefault="007861C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861CE" w:rsidRDefault="007861CE">
      <w:pPr>
        <w:rPr>
          <w:lang w:val="uk-UA"/>
        </w:rPr>
      </w:pPr>
    </w:p>
    <w:sectPr w:rsidR="007861CE" w:rsidSect="00DC7E8D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92"/>
    <w:multiLevelType w:val="multilevel"/>
    <w:tmpl w:val="929AA9E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29049E0"/>
    <w:multiLevelType w:val="hybridMultilevel"/>
    <w:tmpl w:val="A2EA6558"/>
    <w:lvl w:ilvl="0" w:tplc="B952335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DC7C91"/>
    <w:multiLevelType w:val="hybridMultilevel"/>
    <w:tmpl w:val="50181610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7343B"/>
    <w:multiLevelType w:val="multilevel"/>
    <w:tmpl w:val="DEF8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B982FA0"/>
    <w:multiLevelType w:val="multilevel"/>
    <w:tmpl w:val="A2A889D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4CC2E85"/>
    <w:multiLevelType w:val="multilevel"/>
    <w:tmpl w:val="27649F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7">
    <w:nsid w:val="439E52C3"/>
    <w:multiLevelType w:val="multilevel"/>
    <w:tmpl w:val="BFEA0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1633BC"/>
    <w:multiLevelType w:val="multilevel"/>
    <w:tmpl w:val="DF3ECE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CE"/>
    <w:rsid w:val="0014196D"/>
    <w:rsid w:val="0045335E"/>
    <w:rsid w:val="007861CE"/>
    <w:rsid w:val="00DC7E8D"/>
    <w:rsid w:val="00F33037"/>
    <w:rsid w:val="00F7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Без интервала1"/>
    <w:rsid w:val="0056297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56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629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2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explosion val="3"/>
          </c:dPt>
          <c:dPt>
            <c:idx val="2"/>
            <c:spPr>
              <a:solidFill>
                <a:srgbClr val="C00000"/>
              </a:solidFill>
            </c:spPr>
          </c:dPt>
          <c:dPt>
            <c:idx val="3"/>
            <c:spPr>
              <a:ln>
                <a:solidFill>
                  <a:schemeClr val="accent5"/>
                </a:solidFill>
              </a:ln>
            </c:spPr>
          </c:dPt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706526363103704"/>
          <c:y val="0.18687595868698231"/>
          <c:w val="0.30070232046682244"/>
          <c:h val="0.5310099873879397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2019/2020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2020/2021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2021/2022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Вища</c:v>
                </c:pt>
                <c:pt idx="1">
                  <c:v>Перша</c:v>
                </c:pt>
                <c:pt idx="2">
                  <c:v>Друга</c:v>
                </c:pt>
                <c:pt idx="3">
                  <c:v>Спеціаліст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hape val="cylinder"/>
        <c:axId val="149553152"/>
        <c:axId val="149554688"/>
        <c:axId val="0"/>
      </c:bar3DChart>
      <c:catAx>
        <c:axId val="149553152"/>
        <c:scaling>
          <c:orientation val="minMax"/>
        </c:scaling>
        <c:axPos val="b"/>
        <c:tickLblPos val="nextTo"/>
        <c:crossAx val="149554688"/>
        <c:crosses val="autoZero"/>
        <c:auto val="1"/>
        <c:lblAlgn val="ctr"/>
        <c:lblOffset val="100"/>
      </c:catAx>
      <c:valAx>
        <c:axId val="149554688"/>
        <c:scaling>
          <c:orientation val="minMax"/>
        </c:scaling>
        <c:axPos val="l"/>
        <c:majorGridlines/>
        <c:numFmt formatCode="General" sourceLinked="1"/>
        <c:tickLblPos val="nextTo"/>
        <c:crossAx val="149553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765F-220A-4487-8D3E-45ECA72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2022-06-27T10:53:00Z</cp:lastPrinted>
  <dcterms:created xsi:type="dcterms:W3CDTF">2022-06-27T10:53:00Z</dcterms:created>
  <dcterms:modified xsi:type="dcterms:W3CDTF">2023-01-05T12:46:00Z</dcterms:modified>
</cp:coreProperties>
</file>